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1AEB" w:rsidRDefault="00480DE9">
      <w:pPr>
        <w:pStyle w:val="20"/>
        <w:shd w:val="clear" w:color="auto" w:fill="auto"/>
        <w:ind w:left="11040" w:right="20"/>
      </w:pPr>
      <w:r>
        <w:t>Приложение № 1 к Единым стандартам качества обслуживания сетевыми организациями потребителей услуг сетевых организаций</w:t>
      </w:r>
    </w:p>
    <w:p w:rsidR="00BA1AEB" w:rsidRDefault="00480DE9">
      <w:pPr>
        <w:pStyle w:val="11"/>
        <w:shd w:val="clear" w:color="auto" w:fill="auto"/>
        <w:spacing w:before="0" w:after="198" w:line="230" w:lineRule="exact"/>
      </w:pPr>
      <w:r>
        <w:t>ПАСПОРТ УСЛУГИ (ПРОЦЕССА) СЕТЕВОЙ ОРГАНИЗАЦИИ</w:t>
      </w:r>
    </w:p>
    <w:p w:rsidR="00E5037A" w:rsidRDefault="00E5037A" w:rsidP="00E5037A">
      <w:pPr>
        <w:pStyle w:val="11"/>
        <w:spacing w:line="274" w:lineRule="exact"/>
        <w:rPr>
          <w:u w:val="single"/>
        </w:rPr>
      </w:pPr>
      <w:r w:rsidRPr="00E5037A">
        <w:rPr>
          <w:u w:val="single"/>
        </w:rPr>
        <w:t>Восстановление и переоформление документов</w:t>
      </w:r>
      <w:r>
        <w:rPr>
          <w:u w:val="single"/>
        </w:rPr>
        <w:t xml:space="preserve">  </w:t>
      </w:r>
      <w:r w:rsidRPr="00E5037A">
        <w:rPr>
          <w:u w:val="single"/>
        </w:rPr>
        <w:t>о технологическом присоединении</w:t>
      </w:r>
    </w:p>
    <w:p w:rsidR="00BA1AEB" w:rsidRDefault="00480DE9">
      <w:pPr>
        <w:pStyle w:val="11"/>
        <w:shd w:val="clear" w:color="auto" w:fill="auto"/>
        <w:spacing w:before="0" w:after="0" w:line="274" w:lineRule="exact"/>
        <w:ind w:left="20" w:right="5140"/>
        <w:jc w:val="left"/>
      </w:pPr>
      <w:r w:rsidRPr="009443A6">
        <w:rPr>
          <w:b/>
        </w:rPr>
        <w:t>Круг заявителей</w:t>
      </w:r>
      <w:r>
        <w:t xml:space="preserve">: физические лица, юридические лица, индивидуальные предприниматели </w:t>
      </w:r>
      <w:r w:rsidRPr="00A36401">
        <w:rPr>
          <w:b/>
        </w:rPr>
        <w:t>Размер платы за предоставление услуги (процесса) и основание ее взимания</w:t>
      </w:r>
      <w:r>
        <w:t>:</w:t>
      </w:r>
    </w:p>
    <w:p w:rsidR="008F05DE" w:rsidRDefault="00480DE9" w:rsidP="008F05DE">
      <w:pPr>
        <w:pStyle w:val="11"/>
        <w:shd w:val="clear" w:color="auto" w:fill="auto"/>
        <w:spacing w:before="0" w:after="0" w:line="274" w:lineRule="exact"/>
        <w:ind w:left="20" w:right="20"/>
        <w:jc w:val="both"/>
      </w:pPr>
      <w:r w:rsidRPr="00A36401">
        <w:rPr>
          <w:b/>
        </w:rPr>
        <w:t>Размер платы за выдачу документов</w:t>
      </w:r>
      <w:r>
        <w:t>, подтверждающих технологическое присоединение, на основании заявления о восстановлении (переоформлении) документов о технологическом присоединении, не может превышать 1 000 руб.</w:t>
      </w:r>
      <w:r w:rsidR="006F51AE" w:rsidRPr="006F51AE">
        <w:t xml:space="preserve"> </w:t>
      </w:r>
      <w:r w:rsidR="006F51AE">
        <w:t>за компенсацию сетевой организации затрат (за исключением случаев невыполнения технических условий в установленный срок)</w:t>
      </w:r>
      <w:r w:rsidR="004D72B7">
        <w:t>, в соответствии с п. 79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утверждённых постановлением Правительства Российской Федерации от 27.12.2004 № 861)</w:t>
      </w:r>
    </w:p>
    <w:p w:rsidR="008F05DE" w:rsidRDefault="008F05DE" w:rsidP="008F05DE">
      <w:pPr>
        <w:pStyle w:val="11"/>
        <w:shd w:val="clear" w:color="auto" w:fill="auto"/>
        <w:spacing w:before="0" w:after="0" w:line="274" w:lineRule="exact"/>
        <w:ind w:left="20" w:right="20"/>
        <w:jc w:val="both"/>
      </w:pPr>
      <w:r w:rsidRPr="008F05DE">
        <w:rPr>
          <w:b/>
        </w:rPr>
        <w:t>Порядок выдачи акта согласования технологической и (или) аварийной брони</w:t>
      </w:r>
      <w:r>
        <w:t xml:space="preserve"> регулируется разделом II «Правил ТП...», Правилами разработки и применения графиков аварийного ограничения режима потребления электрической энергии (мощности) и использования противоаварийной автоматики, утв. приказом Минэнерго России от 06.06.2013 № 290, и имеет ряд особенностей в процедуре его составления и выдачи.</w:t>
      </w:r>
    </w:p>
    <w:p w:rsidR="00BA1AEB" w:rsidRDefault="00480DE9">
      <w:pPr>
        <w:pStyle w:val="11"/>
        <w:shd w:val="clear" w:color="auto" w:fill="auto"/>
        <w:spacing w:before="0" w:after="0" w:line="274" w:lineRule="exact"/>
        <w:ind w:left="20"/>
        <w:jc w:val="both"/>
      </w:pPr>
      <w:r w:rsidRPr="00A36401">
        <w:rPr>
          <w:b/>
        </w:rPr>
        <w:t>Условия оказания услуги (процесса)</w:t>
      </w:r>
      <w:r>
        <w:t>:</w:t>
      </w:r>
    </w:p>
    <w:p w:rsidR="00BA1AEB" w:rsidRDefault="00480DE9" w:rsidP="00A36401">
      <w:pPr>
        <w:pStyle w:val="11"/>
        <w:shd w:val="clear" w:color="auto" w:fill="auto"/>
        <w:spacing w:before="0" w:after="0" w:line="274" w:lineRule="exact"/>
        <w:ind w:left="20" w:right="20"/>
        <w:jc w:val="both"/>
      </w:pPr>
      <w:r>
        <w:t>I. Условия оказания услуги (процесса) по выдаче документов на основании заявления о восстановлении (переоформлении) документов о технологическом присоединении либо выдача новых документов о технологическом присоединении при невозможности восстановления ранее выданных технических условий».</w:t>
      </w:r>
    </w:p>
    <w:p w:rsidR="00B2078A" w:rsidRDefault="00480DE9" w:rsidP="00B2078A">
      <w:pPr>
        <w:pStyle w:val="11"/>
        <w:shd w:val="clear" w:color="auto" w:fill="auto"/>
        <w:spacing w:before="0" w:after="0" w:line="274" w:lineRule="exact"/>
        <w:ind w:left="20"/>
        <w:jc w:val="both"/>
      </w:pPr>
      <w:r w:rsidRPr="00B2078A">
        <w:rPr>
          <w:b/>
        </w:rPr>
        <w:t>Результат оказания услуги (процесса)</w:t>
      </w:r>
      <w:r>
        <w:t>: выдача заявителю документов</w:t>
      </w:r>
      <w:r w:rsidR="00E5037A">
        <w:t>, подтверждающих факт осуществления</w:t>
      </w:r>
      <w:r w:rsidR="00B2078A">
        <w:t xml:space="preserve"> технологическо</w:t>
      </w:r>
      <w:r w:rsidR="00E5037A">
        <w:t>го присоединения</w:t>
      </w:r>
      <w:r w:rsidR="00B2078A">
        <w:t xml:space="preserve">. </w:t>
      </w:r>
      <w:r w:rsidR="00410FB7">
        <w:t xml:space="preserve">Выдаётся  акт об осуществлении технологического присоединения </w:t>
      </w:r>
      <w:r w:rsidR="006F51AE">
        <w:t xml:space="preserve">и новых технических условий </w:t>
      </w:r>
      <w:r w:rsidR="00B2078A">
        <w:t xml:space="preserve">по результатам </w:t>
      </w:r>
      <w:r w:rsidR="006F51AE" w:rsidRPr="006F51AE">
        <w:t>осмотр</w:t>
      </w:r>
      <w:r w:rsidR="006F51AE">
        <w:t>а</w:t>
      </w:r>
      <w:r w:rsidR="006F51AE" w:rsidRPr="006F51AE">
        <w:t xml:space="preserve"> энергопринимающих устройств, с целью определения фактической схемы присоединения</w:t>
      </w:r>
      <w:r w:rsidR="006F51AE">
        <w:t>.</w:t>
      </w:r>
      <w:r w:rsidR="00B2078A">
        <w:t xml:space="preserve"> </w:t>
      </w:r>
      <w:r w:rsidR="006F51AE">
        <w:t>На основании</w:t>
      </w:r>
      <w:r w:rsidR="00410FB7">
        <w:t xml:space="preserve"> ранее</w:t>
      </w:r>
      <w:r w:rsidR="00B2078A">
        <w:t xml:space="preserve"> </w:t>
      </w:r>
      <w:r w:rsidR="00410FB7">
        <w:t>составленных</w:t>
      </w:r>
      <w:r w:rsidR="00B2078A">
        <w:t xml:space="preserve"> акт</w:t>
      </w:r>
      <w:r w:rsidR="00410FB7">
        <w:t>а</w:t>
      </w:r>
      <w:r w:rsidR="00B2078A">
        <w:t xml:space="preserve"> разграничения балансовой принадлежности сторон, акт</w:t>
      </w:r>
      <w:r w:rsidR="00410FB7">
        <w:t>а</w:t>
      </w:r>
      <w:r w:rsidR="00B2078A">
        <w:t xml:space="preserve"> разграничения эксплуат</w:t>
      </w:r>
      <w:r w:rsidR="006F51AE">
        <w:t>ационной ответственности сторон, акта об осуществлении технологического присоединения выдаётся новый  акт об осуществлении технологического присоединения,</w:t>
      </w:r>
      <w:r w:rsidR="00B2078A">
        <w:t xml:space="preserve"> при этом действие ранее составленных документов о технологическом присоединении (за исключением технических условий) прекращается, их дубликаты не выдаются.</w:t>
      </w:r>
    </w:p>
    <w:p w:rsidR="00BA1AEB" w:rsidRDefault="00480DE9" w:rsidP="00B2078A">
      <w:pPr>
        <w:pStyle w:val="11"/>
        <w:shd w:val="clear" w:color="auto" w:fill="auto"/>
        <w:spacing w:before="0" w:after="0" w:line="274" w:lineRule="exact"/>
        <w:ind w:left="20"/>
        <w:jc w:val="both"/>
        <w:rPr>
          <w:b/>
        </w:rPr>
      </w:pPr>
      <w:r w:rsidRPr="00B2078A">
        <w:rPr>
          <w:b/>
        </w:rPr>
        <w:t>Общий срок оказания услуги (процесса):</w:t>
      </w:r>
    </w:p>
    <w:p w:rsidR="006F51AE" w:rsidRDefault="006F51AE" w:rsidP="006F51AE">
      <w:pPr>
        <w:pStyle w:val="11"/>
        <w:shd w:val="clear" w:color="auto" w:fill="auto"/>
        <w:spacing w:before="0" w:after="283" w:line="274" w:lineRule="exact"/>
        <w:ind w:left="120" w:right="60"/>
        <w:jc w:val="both"/>
      </w:pPr>
      <w:r>
        <w:t>В</w:t>
      </w:r>
      <w:r w:rsidRPr="00C14668">
        <w:t xml:space="preserve"> зависимости от конк</w:t>
      </w:r>
      <w:r>
        <w:t xml:space="preserve">ретной ситуации при  наличии или отсутствии документов, подтверждающих факт осуществления технологического </w:t>
      </w:r>
      <w:r w:rsidR="00C85948">
        <w:t>присоединения</w:t>
      </w:r>
      <w:r>
        <w:t>.</w:t>
      </w:r>
    </w:p>
    <w:p w:rsidR="008F05DE" w:rsidRDefault="008F05DE" w:rsidP="006F51AE">
      <w:pPr>
        <w:pStyle w:val="11"/>
        <w:shd w:val="clear" w:color="auto" w:fill="auto"/>
        <w:spacing w:before="0" w:after="283" w:line="274" w:lineRule="exact"/>
        <w:ind w:left="120" w:right="60"/>
        <w:jc w:val="both"/>
      </w:pPr>
    </w:p>
    <w:p w:rsidR="008F05DE" w:rsidRDefault="008F05DE" w:rsidP="006F51AE">
      <w:pPr>
        <w:pStyle w:val="11"/>
        <w:shd w:val="clear" w:color="auto" w:fill="auto"/>
        <w:spacing w:before="0" w:after="283" w:line="274" w:lineRule="exact"/>
        <w:ind w:left="120" w:right="60"/>
        <w:jc w:val="both"/>
      </w:pPr>
    </w:p>
    <w:p w:rsidR="00BA1AEB" w:rsidRPr="006F51AE" w:rsidRDefault="00480DE9" w:rsidP="006F51AE">
      <w:pPr>
        <w:pStyle w:val="ad"/>
        <w:rPr>
          <w:rFonts w:ascii="Times New Roman" w:hAnsi="Times New Roman" w:cs="Times New Roman"/>
          <w:b/>
        </w:rPr>
      </w:pPr>
      <w:r w:rsidRPr="006F51AE">
        <w:rPr>
          <w:rFonts w:ascii="Times New Roman" w:hAnsi="Times New Roman" w:cs="Times New Roman"/>
          <w:b/>
        </w:rPr>
        <w:lastRenderedPageBreak/>
        <w:t>Состав, последовательность и сроки оказания услуги (процесса):</w:t>
      </w:r>
    </w:p>
    <w:p w:rsidR="00BA1AEB" w:rsidRDefault="00BA1AEB">
      <w:pPr>
        <w:pStyle w:val="11"/>
        <w:shd w:val="clear" w:color="auto" w:fill="auto"/>
        <w:spacing w:before="0" w:after="0" w:line="230" w:lineRule="exact"/>
        <w:ind w:left="20"/>
        <w:jc w:val="both"/>
      </w:pPr>
    </w:p>
    <w:tbl>
      <w:tblPr>
        <w:tblStyle w:val="ac"/>
        <w:tblW w:w="14822" w:type="dxa"/>
        <w:tblLook w:val="04A0" w:firstRow="1" w:lastRow="0" w:firstColumn="1" w:lastColumn="0" w:noHBand="0" w:noVBand="1"/>
      </w:tblPr>
      <w:tblGrid>
        <w:gridCol w:w="694"/>
        <w:gridCol w:w="2533"/>
        <w:gridCol w:w="4799"/>
        <w:gridCol w:w="2529"/>
        <w:gridCol w:w="1884"/>
        <w:gridCol w:w="2383"/>
      </w:tblGrid>
      <w:tr w:rsidR="00BF3DD5" w:rsidRPr="00BF3DD5" w:rsidTr="00BF3DD5">
        <w:tc>
          <w:tcPr>
            <w:tcW w:w="694" w:type="dxa"/>
            <w:vAlign w:val="center"/>
          </w:tcPr>
          <w:p w:rsidR="00410FB7" w:rsidRPr="00BF3DD5" w:rsidRDefault="00410FB7" w:rsidP="00BF3DD5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Style w:val="9pt"/>
                <w:rFonts w:eastAsia="Courier New"/>
                <w:lang w:val="en-US" w:eastAsia="en-US" w:bidi="en-US"/>
              </w:rPr>
              <w:t>N</w:t>
            </w:r>
          </w:p>
          <w:p w:rsidR="00410FB7" w:rsidRPr="00BF3DD5" w:rsidRDefault="00410FB7" w:rsidP="00BF3DD5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Style w:val="9pt0"/>
                <w:rFonts w:eastAsia="Courier New"/>
              </w:rPr>
              <w:t>п</w:t>
            </w:r>
            <w:r w:rsidRPr="00BF3DD5">
              <w:rPr>
                <w:rStyle w:val="9pt"/>
                <w:rFonts w:eastAsia="Courier New"/>
              </w:rPr>
              <w:t>/</w:t>
            </w:r>
            <w:r w:rsidRPr="00BF3DD5">
              <w:rPr>
                <w:rStyle w:val="9pt0"/>
                <w:rFonts w:eastAsia="Courier New"/>
              </w:rPr>
              <w:t>п</w:t>
            </w:r>
          </w:p>
        </w:tc>
        <w:tc>
          <w:tcPr>
            <w:tcW w:w="2533" w:type="dxa"/>
            <w:vAlign w:val="center"/>
          </w:tcPr>
          <w:p w:rsidR="00410FB7" w:rsidRPr="00BF3DD5" w:rsidRDefault="00410FB7" w:rsidP="00BF3DD5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Style w:val="9pt0"/>
                <w:rFonts w:eastAsia="Courier New"/>
              </w:rPr>
              <w:t>Этап</w:t>
            </w:r>
          </w:p>
        </w:tc>
        <w:tc>
          <w:tcPr>
            <w:tcW w:w="4799" w:type="dxa"/>
            <w:vAlign w:val="center"/>
          </w:tcPr>
          <w:p w:rsidR="00410FB7" w:rsidRPr="00BF3DD5" w:rsidRDefault="00410FB7" w:rsidP="00BF3DD5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Style w:val="9pt0"/>
                <w:rFonts w:eastAsia="Courier New"/>
              </w:rPr>
              <w:t>Содержание</w:t>
            </w:r>
            <w:r w:rsidRPr="00BF3DD5">
              <w:rPr>
                <w:rStyle w:val="9pt"/>
                <w:rFonts w:eastAsia="Courier New"/>
              </w:rPr>
              <w:t>/</w:t>
            </w:r>
            <w:r w:rsidRPr="00BF3DD5">
              <w:rPr>
                <w:rStyle w:val="9pt0"/>
                <w:rFonts w:eastAsia="Courier New"/>
              </w:rPr>
              <w:t>условия этапа</w:t>
            </w:r>
          </w:p>
        </w:tc>
        <w:tc>
          <w:tcPr>
            <w:tcW w:w="2529" w:type="dxa"/>
            <w:vAlign w:val="center"/>
          </w:tcPr>
          <w:p w:rsidR="00410FB7" w:rsidRPr="00BF3DD5" w:rsidRDefault="00410FB7" w:rsidP="00BF3DD5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Style w:val="9pt0"/>
                <w:rFonts w:eastAsia="Courier New"/>
              </w:rPr>
              <w:t>Форма предоставления</w:t>
            </w:r>
          </w:p>
        </w:tc>
        <w:tc>
          <w:tcPr>
            <w:tcW w:w="1884" w:type="dxa"/>
            <w:vAlign w:val="center"/>
          </w:tcPr>
          <w:p w:rsidR="00410FB7" w:rsidRPr="00BF3DD5" w:rsidRDefault="00410FB7" w:rsidP="00BF3DD5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Style w:val="9pt0"/>
                <w:rFonts w:eastAsia="Courier New"/>
              </w:rPr>
              <w:t>Срок исполнения</w:t>
            </w:r>
          </w:p>
        </w:tc>
        <w:tc>
          <w:tcPr>
            <w:tcW w:w="2383" w:type="dxa"/>
            <w:vAlign w:val="center"/>
          </w:tcPr>
          <w:p w:rsidR="00410FB7" w:rsidRPr="00BF3DD5" w:rsidRDefault="00410FB7" w:rsidP="00BF3DD5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Style w:val="9pt0"/>
                <w:rFonts w:eastAsia="Courier New"/>
              </w:rPr>
              <w:t>Ссылка на нормативный правовой акт</w:t>
            </w:r>
          </w:p>
        </w:tc>
      </w:tr>
      <w:tr w:rsidR="00BF3DD5" w:rsidRPr="00BF3DD5" w:rsidTr="00BF3DD5">
        <w:tc>
          <w:tcPr>
            <w:tcW w:w="694" w:type="dxa"/>
          </w:tcPr>
          <w:p w:rsidR="00410FB7" w:rsidRPr="00BF3DD5" w:rsidRDefault="00410FB7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33" w:type="dxa"/>
          </w:tcPr>
          <w:p w:rsidR="00410FB7" w:rsidRPr="00BF3DD5" w:rsidRDefault="00410FB7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Обращение в сетевую организацию потребителей электрической энергии</w:t>
            </w:r>
          </w:p>
        </w:tc>
        <w:tc>
          <w:tcPr>
            <w:tcW w:w="4799" w:type="dxa"/>
          </w:tcPr>
          <w:p w:rsidR="00410FB7" w:rsidRPr="00BF3DD5" w:rsidRDefault="008B48A5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Предоставление заявления в сетевую организацию от потребителей на восстановление (переоформление) документов о технологическом присоединении с предоставлением необходимых документов</w:t>
            </w:r>
            <w:r w:rsidR="005C7383"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 и предъявлением оригинал</w:t>
            </w:r>
            <w:r w:rsidR="002735BF" w:rsidRPr="00BF3DD5">
              <w:rPr>
                <w:rFonts w:ascii="Times New Roman" w:hAnsi="Times New Roman" w:cs="Times New Roman"/>
                <w:sz w:val="18"/>
                <w:szCs w:val="18"/>
              </w:rPr>
              <w:t>ов.</w:t>
            </w:r>
          </w:p>
        </w:tc>
        <w:tc>
          <w:tcPr>
            <w:tcW w:w="2529" w:type="dxa"/>
          </w:tcPr>
          <w:p w:rsidR="00410FB7" w:rsidRPr="00BF3DD5" w:rsidRDefault="008B48A5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Лично (через представителя)</w:t>
            </w:r>
          </w:p>
          <w:p w:rsidR="008B48A5" w:rsidRPr="00BF3DD5" w:rsidRDefault="008B48A5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в Центры обслуживания клиентов </w:t>
            </w:r>
            <w:r w:rsidR="00E80C2D">
              <w:rPr>
                <w:rFonts w:ascii="Times New Roman" w:hAnsi="Times New Roman" w:cs="Times New Roman"/>
                <w:sz w:val="18"/>
                <w:szCs w:val="18"/>
              </w:rPr>
              <w:t>ООО</w:t>
            </w: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80C2D">
              <w:rPr>
                <w:rFonts w:ascii="Times New Roman" w:hAnsi="Times New Roman" w:cs="Times New Roman"/>
                <w:sz w:val="18"/>
                <w:szCs w:val="18"/>
              </w:rPr>
              <w:t>«ПСК</w:t>
            </w: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»;</w:t>
            </w:r>
          </w:p>
          <w:p w:rsidR="008B48A5" w:rsidRPr="00BF3DD5" w:rsidRDefault="008B48A5" w:rsidP="00E80C2D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через Портал потребителя, размещенного на </w:t>
            </w:r>
            <w:r w:rsidR="00BF3DD5">
              <w:rPr>
                <w:rFonts w:ascii="Times New Roman" w:hAnsi="Times New Roman" w:cs="Times New Roman"/>
                <w:sz w:val="18"/>
                <w:szCs w:val="18"/>
              </w:rPr>
              <w:t>оф</w:t>
            </w: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ициальном сайте   </w:t>
            </w:r>
            <w:r w:rsidR="002A323C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r w:rsidR="00E80C2D">
              <w:rPr>
                <w:rFonts w:ascii="Times New Roman" w:hAnsi="Times New Roman" w:cs="Times New Roman"/>
                <w:sz w:val="18"/>
                <w:szCs w:val="18"/>
              </w:rPr>
              <w:t>ООО «ПСК»</w:t>
            </w:r>
          </w:p>
        </w:tc>
        <w:tc>
          <w:tcPr>
            <w:tcW w:w="1884" w:type="dxa"/>
          </w:tcPr>
          <w:p w:rsidR="00410FB7" w:rsidRPr="00BF3DD5" w:rsidRDefault="00410FB7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3" w:type="dxa"/>
          </w:tcPr>
          <w:p w:rsidR="008B48A5" w:rsidRPr="00BF3DD5" w:rsidRDefault="008B48A5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Style w:val="9pt"/>
                <w:rFonts w:eastAsia="Courier New"/>
              </w:rPr>
              <w:t>пункт 57, 62 Правил ТП</w:t>
            </w:r>
          </w:p>
          <w:p w:rsidR="00410FB7" w:rsidRPr="00BF3DD5" w:rsidRDefault="008B48A5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Style w:val="9pt"/>
                <w:rFonts w:eastAsia="Courier New"/>
              </w:rPr>
              <w:t>приложения № 6-10 Правил ТП</w:t>
            </w:r>
          </w:p>
        </w:tc>
      </w:tr>
      <w:tr w:rsidR="00BF3DD5" w:rsidRPr="00BF3DD5" w:rsidTr="00BF3DD5">
        <w:tc>
          <w:tcPr>
            <w:tcW w:w="694" w:type="dxa"/>
          </w:tcPr>
          <w:p w:rsidR="00410FB7" w:rsidRPr="00BF3DD5" w:rsidRDefault="008B48A5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533" w:type="dxa"/>
          </w:tcPr>
          <w:p w:rsidR="00410FB7" w:rsidRPr="00BF3DD5" w:rsidRDefault="00802779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Сверка </w:t>
            </w:r>
            <w:r w:rsidR="008B48A5"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предоставленных документов </w:t>
            </w: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лица, обратившегося с заявлением о переоформлении документов, с предъявлением оригиналов, которыми располагает данное лицо</w:t>
            </w:r>
          </w:p>
        </w:tc>
        <w:tc>
          <w:tcPr>
            <w:tcW w:w="4799" w:type="dxa"/>
          </w:tcPr>
          <w:p w:rsidR="00802779" w:rsidRPr="00BF3DD5" w:rsidRDefault="00B85FAB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В заявлении о переоформлении документов делается отметка об отсутствии документа (документов), при не предоставлении заявителем </w:t>
            </w:r>
            <w:r w:rsidR="00802779"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C7383"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следующих </w:t>
            </w:r>
            <w:r w:rsidR="00802779" w:rsidRPr="00BF3DD5">
              <w:rPr>
                <w:rFonts w:ascii="Times New Roman" w:hAnsi="Times New Roman" w:cs="Times New Roman"/>
                <w:sz w:val="18"/>
                <w:szCs w:val="18"/>
              </w:rPr>
              <w:t>документов:</w:t>
            </w:r>
          </w:p>
          <w:p w:rsidR="00802779" w:rsidRPr="00BF3DD5" w:rsidRDefault="00B85FAB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- копий</w:t>
            </w:r>
            <w:r w:rsidR="00802779"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 технических условий, в том числе оформленных на предыдущего собственника;</w:t>
            </w:r>
          </w:p>
          <w:p w:rsidR="00802779" w:rsidRPr="00BF3DD5" w:rsidRDefault="005C7383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85FAB"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 копии</w:t>
            </w:r>
            <w:r w:rsidR="00802779"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 акта разграничения границ балансовой принадлежности сторон, акта разграничения эксплуатационной ответственности сторон, акта об осуществлении технологического присоединения, в том числе оформленных на предыдущего собственника;</w:t>
            </w:r>
          </w:p>
          <w:p w:rsidR="00802779" w:rsidRPr="00BF3DD5" w:rsidRDefault="005C7383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B85FAB" w:rsidRPr="00BF3DD5">
              <w:rPr>
                <w:rFonts w:ascii="Times New Roman" w:hAnsi="Times New Roman" w:cs="Times New Roman"/>
                <w:sz w:val="18"/>
                <w:szCs w:val="18"/>
              </w:rPr>
              <w:t>копий</w:t>
            </w:r>
            <w:r w:rsidR="00802779"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 разделов проектной документации, предусматривающих технические решения, обеспечивающие выполнение технических условий, в том числе решения по схеме внешнего электроснабжения, релейной защите и автоматике, телемеханике и связи (прилагаются при отсутствии технических условий или отсутствии в них и имеющихся документах о технологическом присоединении информации о максимальной мощности ранее присоединенных энергопринимающих устройств, если при этом в соответствии с законодательством Российской Федерации о градостроительной деятельности разработка проектной документации являлась обязательной);</w:t>
            </w:r>
          </w:p>
          <w:p w:rsidR="005C7383" w:rsidRPr="00BF3DD5" w:rsidRDefault="005C7383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85FAB"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 копий</w:t>
            </w:r>
            <w:r w:rsidR="00802779"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 иных документов, подтверждающих факт технологического присоединения энергопринимающих устройств к электрическим сетям (в том числе оформленных на предыдущего собственника энергопринимающих устройств)</w:t>
            </w:r>
          </w:p>
        </w:tc>
        <w:tc>
          <w:tcPr>
            <w:tcW w:w="2529" w:type="dxa"/>
          </w:tcPr>
          <w:p w:rsidR="005C7383" w:rsidRPr="00BF3DD5" w:rsidRDefault="005C7383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Лично (через представителя)</w:t>
            </w:r>
          </w:p>
          <w:p w:rsidR="00410FB7" w:rsidRPr="00BF3DD5" w:rsidRDefault="00410FB7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4" w:type="dxa"/>
          </w:tcPr>
          <w:p w:rsidR="00410FB7" w:rsidRPr="00BF3DD5" w:rsidRDefault="00410FB7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3" w:type="dxa"/>
          </w:tcPr>
          <w:p w:rsidR="005C7383" w:rsidRPr="00BF3DD5" w:rsidRDefault="005C7383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Style w:val="9pt"/>
                <w:rFonts w:eastAsia="Courier New"/>
              </w:rPr>
              <w:t>пункт 63 Правил ТП</w:t>
            </w:r>
          </w:p>
          <w:p w:rsidR="00410FB7" w:rsidRPr="00BF3DD5" w:rsidRDefault="00410FB7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3DD5" w:rsidRPr="00BF3DD5" w:rsidTr="00BF3DD5">
        <w:tc>
          <w:tcPr>
            <w:tcW w:w="694" w:type="dxa"/>
          </w:tcPr>
          <w:p w:rsidR="00F2109D" w:rsidRPr="00BF3DD5" w:rsidRDefault="00F2109D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533" w:type="dxa"/>
          </w:tcPr>
          <w:p w:rsidR="00F2109D" w:rsidRPr="00BF3DD5" w:rsidRDefault="00F2109D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Действия сетевой компании </w:t>
            </w:r>
            <w:r w:rsidR="00BF3DD5">
              <w:rPr>
                <w:rFonts w:ascii="Times New Roman" w:hAnsi="Times New Roman" w:cs="Times New Roman"/>
                <w:sz w:val="18"/>
                <w:szCs w:val="18"/>
              </w:rPr>
              <w:t>по предоставлению  и переоформлению</w:t>
            </w:r>
            <w:r w:rsidR="00BF3DD5"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 документов</w:t>
            </w:r>
            <w:r w:rsidR="00BF3DD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DD3B1D"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в случае перехода права собственности  в период действия договора или с наступлением иных обстоятельств, а также в связи с необходимостью указания информации о </w:t>
            </w:r>
            <w:r w:rsidR="00DD3B1D" w:rsidRPr="00BF3D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максимальной мощности</w:t>
            </w:r>
          </w:p>
        </w:tc>
        <w:tc>
          <w:tcPr>
            <w:tcW w:w="4799" w:type="dxa"/>
          </w:tcPr>
          <w:p w:rsidR="00F2109D" w:rsidRPr="00BF3DD5" w:rsidRDefault="00F2109D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9" w:type="dxa"/>
          </w:tcPr>
          <w:p w:rsidR="00F2109D" w:rsidRPr="00BF3DD5" w:rsidRDefault="00F2109D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4" w:type="dxa"/>
          </w:tcPr>
          <w:p w:rsidR="00F2109D" w:rsidRPr="00BF3DD5" w:rsidRDefault="00F2109D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3" w:type="dxa"/>
          </w:tcPr>
          <w:p w:rsidR="00F2109D" w:rsidRPr="00BF3DD5" w:rsidRDefault="00F2109D" w:rsidP="002A323C">
            <w:pPr>
              <w:pStyle w:val="ad"/>
              <w:jc w:val="center"/>
              <w:rPr>
                <w:rStyle w:val="9pt"/>
                <w:rFonts w:eastAsia="Courier New"/>
              </w:rPr>
            </w:pPr>
          </w:p>
        </w:tc>
      </w:tr>
      <w:tr w:rsidR="00BF3DD5" w:rsidRPr="00BF3DD5" w:rsidTr="00BF3DD5">
        <w:tc>
          <w:tcPr>
            <w:tcW w:w="694" w:type="dxa"/>
          </w:tcPr>
          <w:p w:rsidR="00410FB7" w:rsidRPr="00BF3DD5" w:rsidRDefault="005C7383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533" w:type="dxa"/>
          </w:tcPr>
          <w:p w:rsidR="00410FB7" w:rsidRPr="00BF3DD5" w:rsidRDefault="00DD3B1D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99" w:type="dxa"/>
          </w:tcPr>
          <w:p w:rsidR="00410FB7" w:rsidRPr="00BF3DD5" w:rsidRDefault="00B85FAB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Выдача с</w:t>
            </w:r>
            <w:r w:rsidR="00606297"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етевой организацией </w:t>
            </w: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дубликатов</w:t>
            </w:r>
            <w:r w:rsidR="002735BF"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 ранее выданных тех</w:t>
            </w: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нических условий или технических условий, оформленных</w:t>
            </w:r>
            <w:r w:rsidR="002735BF"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 на нового собственника (законного владельца) объекта капитального строительства</w:t>
            </w:r>
            <w:r w:rsidR="00DD3B1D" w:rsidRPr="00BF3DD5">
              <w:rPr>
                <w:rFonts w:ascii="Times New Roman" w:hAnsi="Times New Roman" w:cs="Times New Roman"/>
                <w:sz w:val="18"/>
                <w:szCs w:val="18"/>
              </w:rPr>
              <w:t>, в период действия договора</w:t>
            </w:r>
          </w:p>
          <w:p w:rsidR="00606297" w:rsidRPr="00BF3DD5" w:rsidRDefault="00606297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9" w:type="dxa"/>
          </w:tcPr>
          <w:p w:rsidR="00410FB7" w:rsidRPr="00BF3DD5" w:rsidRDefault="0073029B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Лично</w:t>
            </w:r>
          </w:p>
        </w:tc>
        <w:tc>
          <w:tcPr>
            <w:tcW w:w="1884" w:type="dxa"/>
          </w:tcPr>
          <w:p w:rsidR="00410FB7" w:rsidRPr="00BF3DD5" w:rsidRDefault="00A659E4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В течении </w:t>
            </w:r>
            <w:r w:rsidR="0073029B" w:rsidRPr="00BF3DD5">
              <w:rPr>
                <w:rFonts w:ascii="Times New Roman" w:hAnsi="Times New Roman" w:cs="Times New Roman"/>
                <w:sz w:val="18"/>
                <w:szCs w:val="18"/>
              </w:rPr>
              <w:t>7 дней со дня получения заявления о переоформлении документов</w:t>
            </w:r>
          </w:p>
        </w:tc>
        <w:tc>
          <w:tcPr>
            <w:tcW w:w="2383" w:type="dxa"/>
          </w:tcPr>
          <w:p w:rsidR="0073029B" w:rsidRPr="00BF3DD5" w:rsidRDefault="00606297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Style w:val="9pt"/>
                <w:rFonts w:eastAsia="Courier New"/>
              </w:rPr>
              <w:t>пункт 67</w:t>
            </w:r>
            <w:r w:rsidR="0073029B" w:rsidRPr="00BF3DD5">
              <w:rPr>
                <w:rStyle w:val="9pt"/>
                <w:rFonts w:eastAsia="Courier New"/>
              </w:rPr>
              <w:t xml:space="preserve"> Правил ТП</w:t>
            </w:r>
          </w:p>
          <w:p w:rsidR="00410FB7" w:rsidRPr="00BF3DD5" w:rsidRDefault="00410FB7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6401" w:rsidRPr="00BF3DD5" w:rsidTr="00BF3DD5">
        <w:tc>
          <w:tcPr>
            <w:tcW w:w="694" w:type="dxa"/>
          </w:tcPr>
          <w:p w:rsidR="00606297" w:rsidRPr="00BF3DD5" w:rsidRDefault="00606297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2533" w:type="dxa"/>
          </w:tcPr>
          <w:p w:rsidR="00606297" w:rsidRPr="00BF3DD5" w:rsidRDefault="00DD3B1D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99" w:type="dxa"/>
          </w:tcPr>
          <w:p w:rsidR="00606297" w:rsidRPr="00BF3DD5" w:rsidRDefault="00B85FAB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Выдача сетевой организации лицу, обратившемуся с заявлением о переоформлении документов, переоформленные документы о технологическом присоединении, указанные в заявлении о переоформлении документов, в случае </w:t>
            </w:r>
            <w:r w:rsidR="00606297" w:rsidRPr="00BF3DD5">
              <w:rPr>
                <w:rFonts w:ascii="Times New Roman" w:hAnsi="Times New Roman" w:cs="Times New Roman"/>
                <w:sz w:val="18"/>
                <w:szCs w:val="18"/>
              </w:rPr>
              <w:t>если заявителем представлены в сетеву</w:t>
            </w: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ю организацию документы, в соответствии с правилами ТП</w:t>
            </w:r>
            <w:r w:rsidR="00606297"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 или такие документы имеются в наличии у сетевой организации</w:t>
            </w:r>
          </w:p>
        </w:tc>
        <w:tc>
          <w:tcPr>
            <w:tcW w:w="2529" w:type="dxa"/>
          </w:tcPr>
          <w:p w:rsidR="00606297" w:rsidRPr="00BF3DD5" w:rsidRDefault="00DD3B1D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Лично</w:t>
            </w:r>
          </w:p>
        </w:tc>
        <w:tc>
          <w:tcPr>
            <w:tcW w:w="1884" w:type="dxa"/>
          </w:tcPr>
          <w:p w:rsidR="00606297" w:rsidRPr="00BF3DD5" w:rsidRDefault="00A659E4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В течении </w:t>
            </w:r>
            <w:r w:rsidR="00606297" w:rsidRPr="00BF3DD5">
              <w:rPr>
                <w:rFonts w:ascii="Times New Roman" w:hAnsi="Times New Roman" w:cs="Times New Roman"/>
                <w:sz w:val="18"/>
                <w:szCs w:val="18"/>
              </w:rPr>
              <w:t>7 дней со дня получения заявления о переоформлении документов</w:t>
            </w:r>
          </w:p>
        </w:tc>
        <w:tc>
          <w:tcPr>
            <w:tcW w:w="2383" w:type="dxa"/>
          </w:tcPr>
          <w:p w:rsidR="00606297" w:rsidRPr="00BF3DD5" w:rsidRDefault="00606297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Style w:val="9pt"/>
                <w:rFonts w:eastAsia="Courier New"/>
              </w:rPr>
              <w:t>пункт 69 Правил ТП</w:t>
            </w:r>
          </w:p>
          <w:p w:rsidR="00606297" w:rsidRPr="00BF3DD5" w:rsidRDefault="00606297" w:rsidP="002A323C">
            <w:pPr>
              <w:pStyle w:val="ad"/>
              <w:jc w:val="center"/>
              <w:rPr>
                <w:rStyle w:val="9pt"/>
                <w:rFonts w:eastAsia="Courier New"/>
              </w:rPr>
            </w:pPr>
          </w:p>
        </w:tc>
      </w:tr>
      <w:tr w:rsidR="00BF3DD5" w:rsidRPr="00BF3DD5" w:rsidTr="00BF3DD5">
        <w:tc>
          <w:tcPr>
            <w:tcW w:w="694" w:type="dxa"/>
          </w:tcPr>
          <w:p w:rsidR="00F2109D" w:rsidRPr="00BF3DD5" w:rsidRDefault="00F2109D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533" w:type="dxa"/>
          </w:tcPr>
          <w:p w:rsidR="00F2109D" w:rsidRPr="00BF3DD5" w:rsidRDefault="00F2109D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Действия сетевой компании</w:t>
            </w:r>
            <w:r w:rsidR="0028743F"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 и заявителя</w:t>
            </w: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F3DD5">
              <w:rPr>
                <w:rFonts w:ascii="Times New Roman" w:hAnsi="Times New Roman" w:cs="Times New Roman"/>
                <w:sz w:val="18"/>
                <w:szCs w:val="18"/>
              </w:rPr>
              <w:t>по предоставлению  и переоформлению</w:t>
            </w:r>
            <w:r w:rsidR="00BF3DD5"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 документов</w:t>
            </w:r>
            <w:r w:rsidR="00BF3DD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DD3B1D"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в связи с необходимостью восстановления утраченных </w:t>
            </w:r>
            <w:r w:rsidR="0028743F" w:rsidRPr="00BF3DD5">
              <w:rPr>
                <w:rFonts w:ascii="Times New Roman" w:hAnsi="Times New Roman" w:cs="Times New Roman"/>
                <w:sz w:val="18"/>
                <w:szCs w:val="18"/>
              </w:rPr>
              <w:t>документов о технологическом присоединении (в том числе технических условий)</w:t>
            </w:r>
          </w:p>
        </w:tc>
        <w:tc>
          <w:tcPr>
            <w:tcW w:w="4799" w:type="dxa"/>
          </w:tcPr>
          <w:p w:rsidR="00F2109D" w:rsidRPr="00BF3DD5" w:rsidRDefault="00F2109D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9" w:type="dxa"/>
          </w:tcPr>
          <w:p w:rsidR="00F2109D" w:rsidRPr="00BF3DD5" w:rsidRDefault="00F2109D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4" w:type="dxa"/>
          </w:tcPr>
          <w:p w:rsidR="00F2109D" w:rsidRPr="00BF3DD5" w:rsidRDefault="00F2109D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3" w:type="dxa"/>
          </w:tcPr>
          <w:p w:rsidR="00F2109D" w:rsidRPr="00BF3DD5" w:rsidRDefault="00F2109D" w:rsidP="002A323C">
            <w:pPr>
              <w:pStyle w:val="ad"/>
              <w:jc w:val="center"/>
              <w:rPr>
                <w:rStyle w:val="9pt"/>
                <w:rFonts w:eastAsia="Courier New"/>
              </w:rPr>
            </w:pPr>
          </w:p>
        </w:tc>
      </w:tr>
      <w:tr w:rsidR="00BF3DD5" w:rsidRPr="00BF3DD5" w:rsidTr="00BF3DD5">
        <w:tc>
          <w:tcPr>
            <w:tcW w:w="694" w:type="dxa"/>
          </w:tcPr>
          <w:p w:rsidR="00DD3B1D" w:rsidRPr="00BF3DD5" w:rsidRDefault="00DD3B1D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2533" w:type="dxa"/>
          </w:tcPr>
          <w:p w:rsidR="00DD3B1D" w:rsidRPr="00BF3DD5" w:rsidRDefault="00DD3B1D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99" w:type="dxa"/>
          </w:tcPr>
          <w:p w:rsidR="00DD3B1D" w:rsidRPr="00BF3DD5" w:rsidRDefault="00DD3B1D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В случае приложенных к заявлению о переоформлении документов в </w:t>
            </w:r>
            <w:r w:rsidR="00E80C2D" w:rsidRPr="00BF3DD5">
              <w:rPr>
                <w:rFonts w:ascii="Times New Roman" w:hAnsi="Times New Roman" w:cs="Times New Roman"/>
                <w:sz w:val="18"/>
                <w:szCs w:val="18"/>
              </w:rPr>
              <w:t>соответствии</w:t>
            </w: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 с </w:t>
            </w:r>
            <w:proofErr w:type="spellStart"/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. «в, г, е» п. 62 настоящих Правил, или такие документы имеются в наличии у сетевой организации, то сетевая организация осуществляет подготовку и выдачу лицу, обратившемуся с заявлением о переоформлении документов, новых технических условий.</w:t>
            </w:r>
          </w:p>
          <w:p w:rsidR="00DD3B1D" w:rsidRPr="00BF3DD5" w:rsidRDefault="00DD3B1D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9" w:type="dxa"/>
          </w:tcPr>
          <w:p w:rsidR="00DD3B1D" w:rsidRPr="00BF3DD5" w:rsidRDefault="00DD3B1D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4" w:type="dxa"/>
          </w:tcPr>
          <w:p w:rsidR="00DD3B1D" w:rsidRPr="00BF3DD5" w:rsidRDefault="00DD3B1D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В течении 10 дней</w:t>
            </w:r>
          </w:p>
          <w:p w:rsidR="00DD3B1D" w:rsidRPr="00BF3DD5" w:rsidRDefault="00DD3B1D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(если настоящими Правилами не предусмотрен иной срок)</w:t>
            </w:r>
          </w:p>
        </w:tc>
        <w:tc>
          <w:tcPr>
            <w:tcW w:w="2383" w:type="dxa"/>
          </w:tcPr>
          <w:p w:rsidR="00DD3B1D" w:rsidRPr="00BF3DD5" w:rsidRDefault="00DD3B1D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Style w:val="9pt"/>
                <w:rFonts w:eastAsia="Courier New"/>
              </w:rPr>
              <w:t>пункт 71 Правил ТП</w:t>
            </w:r>
          </w:p>
          <w:p w:rsidR="00DD3B1D" w:rsidRPr="00BF3DD5" w:rsidRDefault="00DD3B1D" w:rsidP="002A323C">
            <w:pPr>
              <w:pStyle w:val="ad"/>
              <w:jc w:val="center"/>
              <w:rPr>
                <w:rStyle w:val="9pt"/>
                <w:rFonts w:eastAsia="Courier New"/>
              </w:rPr>
            </w:pPr>
          </w:p>
        </w:tc>
      </w:tr>
      <w:tr w:rsidR="00BF3DD5" w:rsidRPr="00BF3DD5" w:rsidTr="00BF3DD5">
        <w:tc>
          <w:tcPr>
            <w:tcW w:w="694" w:type="dxa"/>
          </w:tcPr>
          <w:p w:rsidR="0028743F" w:rsidRPr="00BF3DD5" w:rsidRDefault="0028743F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2533" w:type="dxa"/>
          </w:tcPr>
          <w:p w:rsidR="0028743F" w:rsidRPr="00BF3DD5" w:rsidRDefault="0028743F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99" w:type="dxa"/>
          </w:tcPr>
          <w:p w:rsidR="0028743F" w:rsidRPr="00BF3DD5" w:rsidRDefault="0028743F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В случае отсутствия у лица, обратившегося с заявлением о переоформлении документов, и сетевой организации документов, предусмотренных </w:t>
            </w:r>
            <w:proofErr w:type="spellStart"/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. «в, г, е» п. 62 настоящих Правил, Сетевая организация проводит с участием заявителя осмотр энергопринимающих устройств, с целью определения фактической схемы присоединения, и по его итогам подготавливает и направляет технические условия и акт об осуществлении технологического присоединения.</w:t>
            </w:r>
          </w:p>
        </w:tc>
        <w:tc>
          <w:tcPr>
            <w:tcW w:w="2529" w:type="dxa"/>
          </w:tcPr>
          <w:p w:rsidR="0028743F" w:rsidRPr="00BF3DD5" w:rsidRDefault="0028743F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4" w:type="dxa"/>
          </w:tcPr>
          <w:p w:rsidR="0028743F" w:rsidRPr="00BF3DD5" w:rsidRDefault="0028743F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В течение 15 дней со дня получения заявления о переоформлении документов</w:t>
            </w:r>
          </w:p>
        </w:tc>
        <w:tc>
          <w:tcPr>
            <w:tcW w:w="2383" w:type="dxa"/>
          </w:tcPr>
          <w:p w:rsidR="0028743F" w:rsidRPr="00BF3DD5" w:rsidRDefault="0028743F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Style w:val="9pt"/>
                <w:rFonts w:eastAsia="Courier New"/>
              </w:rPr>
              <w:t>пункт 72 (а) Правил ТП</w:t>
            </w:r>
          </w:p>
          <w:p w:rsidR="0028743F" w:rsidRPr="00BF3DD5" w:rsidRDefault="0028743F" w:rsidP="002A323C">
            <w:pPr>
              <w:pStyle w:val="ad"/>
              <w:jc w:val="center"/>
              <w:rPr>
                <w:rStyle w:val="9pt"/>
                <w:rFonts w:eastAsia="Courier New"/>
              </w:rPr>
            </w:pPr>
          </w:p>
        </w:tc>
      </w:tr>
      <w:tr w:rsidR="00BF3DD5" w:rsidRPr="00BF3DD5" w:rsidTr="00BF3DD5">
        <w:tc>
          <w:tcPr>
            <w:tcW w:w="694" w:type="dxa"/>
          </w:tcPr>
          <w:p w:rsidR="0028743F" w:rsidRPr="00BF3DD5" w:rsidRDefault="003118CB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2533" w:type="dxa"/>
          </w:tcPr>
          <w:p w:rsidR="0028743F" w:rsidRPr="00BF3DD5" w:rsidRDefault="0028743F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99" w:type="dxa"/>
          </w:tcPr>
          <w:p w:rsidR="0028743F" w:rsidRPr="00BF3DD5" w:rsidRDefault="0028743F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мероприятий, указанных в технических условиях, включая выдачу восстановленных технических условий и акта об осуществлении технологического присоединения, лицу, обратившемуся с заявлением о переоформлении документов,</w:t>
            </w:r>
          </w:p>
        </w:tc>
        <w:tc>
          <w:tcPr>
            <w:tcW w:w="2529" w:type="dxa"/>
          </w:tcPr>
          <w:p w:rsidR="0028743F" w:rsidRPr="00BF3DD5" w:rsidRDefault="0028743F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4" w:type="dxa"/>
          </w:tcPr>
          <w:p w:rsidR="0028743F" w:rsidRPr="00BF3DD5" w:rsidRDefault="003118CB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В течении 45 дней со дня получения заявления о переоформлении документов</w:t>
            </w:r>
          </w:p>
        </w:tc>
        <w:tc>
          <w:tcPr>
            <w:tcW w:w="2383" w:type="dxa"/>
          </w:tcPr>
          <w:p w:rsidR="003118CB" w:rsidRPr="00BF3DD5" w:rsidRDefault="003118CB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Style w:val="9pt"/>
                <w:rFonts w:eastAsia="Courier New"/>
              </w:rPr>
              <w:t>пункт 72 (б) Правил ТП</w:t>
            </w:r>
          </w:p>
          <w:p w:rsidR="0028743F" w:rsidRPr="00BF3DD5" w:rsidRDefault="0028743F" w:rsidP="002A323C">
            <w:pPr>
              <w:pStyle w:val="ad"/>
              <w:jc w:val="center"/>
              <w:rPr>
                <w:rStyle w:val="9pt"/>
                <w:rFonts w:eastAsia="Courier New"/>
              </w:rPr>
            </w:pPr>
          </w:p>
        </w:tc>
      </w:tr>
      <w:tr w:rsidR="00BF3DD5" w:rsidRPr="00BF3DD5" w:rsidTr="00BF3DD5">
        <w:tc>
          <w:tcPr>
            <w:tcW w:w="694" w:type="dxa"/>
          </w:tcPr>
          <w:p w:rsidR="003118CB" w:rsidRPr="00BF3DD5" w:rsidRDefault="000E089D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4.4</w:t>
            </w:r>
          </w:p>
        </w:tc>
        <w:tc>
          <w:tcPr>
            <w:tcW w:w="2533" w:type="dxa"/>
          </w:tcPr>
          <w:p w:rsidR="003118CB" w:rsidRPr="00BF3DD5" w:rsidRDefault="003118CB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99" w:type="dxa"/>
          </w:tcPr>
          <w:p w:rsidR="003118CB" w:rsidRPr="00BF3DD5" w:rsidRDefault="003118CB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Сетевая организация с участием заявителя осуществляет осмотр ранее присоединенных энергопринимающих устройств, в целях определения фактической схемы электроснабжения. По результатам составляется и </w:t>
            </w:r>
            <w:r w:rsidRPr="00BF3D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подписывается акт о выполнении технических условий,  включающий однолинейную схему электрических сетей внешнего электроснабжения энергопринимающих устройств.</w:t>
            </w:r>
          </w:p>
          <w:p w:rsidR="003118CB" w:rsidRPr="00BF3DD5" w:rsidRDefault="003118CB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9" w:type="dxa"/>
          </w:tcPr>
          <w:p w:rsidR="003118CB" w:rsidRPr="00BF3DD5" w:rsidRDefault="000E089D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884" w:type="dxa"/>
          </w:tcPr>
          <w:p w:rsidR="003118CB" w:rsidRPr="00BF3DD5" w:rsidRDefault="000E089D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83" w:type="dxa"/>
          </w:tcPr>
          <w:p w:rsidR="000E089D" w:rsidRPr="00BF3DD5" w:rsidRDefault="000E089D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Style w:val="9pt"/>
                <w:rFonts w:eastAsia="Courier New"/>
              </w:rPr>
              <w:t>пункт 73 Правил ТП</w:t>
            </w:r>
          </w:p>
          <w:p w:rsidR="003118CB" w:rsidRPr="00BF3DD5" w:rsidRDefault="003118CB" w:rsidP="002A323C">
            <w:pPr>
              <w:pStyle w:val="ad"/>
              <w:jc w:val="center"/>
              <w:rPr>
                <w:rStyle w:val="9pt"/>
                <w:rFonts w:eastAsia="Courier New"/>
              </w:rPr>
            </w:pPr>
          </w:p>
        </w:tc>
      </w:tr>
      <w:tr w:rsidR="00BF3DD5" w:rsidRPr="00BF3DD5" w:rsidTr="00BF3DD5">
        <w:tc>
          <w:tcPr>
            <w:tcW w:w="694" w:type="dxa"/>
          </w:tcPr>
          <w:p w:rsidR="000E089D" w:rsidRPr="00BF3DD5" w:rsidRDefault="00A659E4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33" w:type="dxa"/>
          </w:tcPr>
          <w:p w:rsidR="000E089D" w:rsidRPr="00BF3DD5" w:rsidRDefault="000E089D" w:rsidP="002A323C">
            <w:pPr>
              <w:pStyle w:val="ad"/>
              <w:jc w:val="center"/>
              <w:rPr>
                <w:rStyle w:val="9pt"/>
                <w:rFonts w:eastAsia="Courier New"/>
              </w:rPr>
            </w:pPr>
            <w:r w:rsidRPr="00BF3DD5">
              <w:rPr>
                <w:rStyle w:val="9pt"/>
                <w:rFonts w:eastAsia="Courier New"/>
              </w:rPr>
              <w:t>Подготовка и выдача документов,  подтверждающих ТП</w:t>
            </w:r>
          </w:p>
        </w:tc>
        <w:tc>
          <w:tcPr>
            <w:tcW w:w="4799" w:type="dxa"/>
          </w:tcPr>
          <w:p w:rsidR="000E089D" w:rsidRPr="00BF3DD5" w:rsidRDefault="000E089D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Сетевая организация выдает акт об осуществлении технологического присоединения по форме.</w:t>
            </w:r>
          </w:p>
          <w:p w:rsidR="000E089D" w:rsidRPr="00BF3DD5" w:rsidRDefault="000E089D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Сетевая </w:t>
            </w:r>
            <w:r w:rsidR="00A659E4"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на основании ранее оформленных </w:t>
            </w: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 документов составляет и выдает акт об осуществлении технологического присоединения, </w:t>
            </w:r>
            <w:r w:rsidR="00A659E4" w:rsidRPr="00BF3DD5">
              <w:rPr>
                <w:rFonts w:ascii="Times New Roman" w:hAnsi="Times New Roman" w:cs="Times New Roman"/>
                <w:sz w:val="18"/>
                <w:szCs w:val="18"/>
              </w:rPr>
              <w:t>в том числе: для лиц, подавших заявление о переоформлении документов,   технологическое присоединение энергопринимающих устройств которого состоялось после 1 января 2010 г. (</w:t>
            </w: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при этом действие ранее составленных документов о технологическом присоединении (за исключением технических условий) прекращается, их дубликаты не выдаются</w:t>
            </w:r>
            <w:r w:rsidR="00A659E4" w:rsidRPr="00BF3DD5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</w:tc>
        <w:tc>
          <w:tcPr>
            <w:tcW w:w="2529" w:type="dxa"/>
          </w:tcPr>
          <w:p w:rsidR="000E089D" w:rsidRPr="00BF3DD5" w:rsidRDefault="000E089D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4" w:type="dxa"/>
          </w:tcPr>
          <w:p w:rsidR="000E089D" w:rsidRPr="00BF3DD5" w:rsidRDefault="00A659E4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В течении 7 дней со дня получения заявления о переоформлении документов</w:t>
            </w:r>
          </w:p>
        </w:tc>
        <w:tc>
          <w:tcPr>
            <w:tcW w:w="2383" w:type="dxa"/>
          </w:tcPr>
          <w:p w:rsidR="00A659E4" w:rsidRPr="00BF3DD5" w:rsidRDefault="00A659E4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Style w:val="9pt"/>
                <w:rFonts w:eastAsia="Courier New"/>
              </w:rPr>
              <w:t>пункт 74 Правил ТП</w:t>
            </w:r>
          </w:p>
          <w:p w:rsidR="000E089D" w:rsidRPr="00BF3DD5" w:rsidRDefault="000E089D" w:rsidP="002A323C">
            <w:pPr>
              <w:pStyle w:val="ad"/>
              <w:jc w:val="center"/>
              <w:rPr>
                <w:rStyle w:val="9pt"/>
                <w:rFonts w:eastAsia="Courier New"/>
              </w:rPr>
            </w:pPr>
          </w:p>
        </w:tc>
      </w:tr>
      <w:tr w:rsidR="00BF3DD5" w:rsidRPr="00BF3DD5" w:rsidTr="00BF3DD5">
        <w:tc>
          <w:tcPr>
            <w:tcW w:w="694" w:type="dxa"/>
          </w:tcPr>
          <w:p w:rsidR="00A659E4" w:rsidRPr="00BF3DD5" w:rsidRDefault="00A659E4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533" w:type="dxa"/>
          </w:tcPr>
          <w:p w:rsidR="00A659E4" w:rsidRPr="00BF3DD5" w:rsidRDefault="00A659E4" w:rsidP="002A323C">
            <w:pPr>
              <w:pStyle w:val="ad"/>
              <w:jc w:val="center"/>
              <w:rPr>
                <w:rStyle w:val="9pt"/>
                <w:rFonts w:eastAsia="Courier New"/>
              </w:rPr>
            </w:pPr>
            <w:r w:rsidRPr="00BF3DD5">
              <w:rPr>
                <w:rStyle w:val="9pt"/>
                <w:rFonts w:eastAsia="Courier New"/>
              </w:rPr>
              <w:t>Подписание документов заявителем</w:t>
            </w:r>
          </w:p>
        </w:tc>
        <w:tc>
          <w:tcPr>
            <w:tcW w:w="4799" w:type="dxa"/>
          </w:tcPr>
          <w:p w:rsidR="00A659E4" w:rsidRPr="00BF3DD5" w:rsidRDefault="00A659E4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Подписание восстановленных (переоформленных) документов о технологическом присоединении Лицом, обратившимся с заявлением о переоформлении документов</w:t>
            </w:r>
          </w:p>
        </w:tc>
        <w:tc>
          <w:tcPr>
            <w:tcW w:w="2529" w:type="dxa"/>
          </w:tcPr>
          <w:p w:rsidR="00A659E4" w:rsidRPr="00BF3DD5" w:rsidRDefault="00A659E4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Лично</w:t>
            </w:r>
          </w:p>
        </w:tc>
        <w:tc>
          <w:tcPr>
            <w:tcW w:w="1884" w:type="dxa"/>
          </w:tcPr>
          <w:p w:rsidR="00A659E4" w:rsidRPr="00BF3DD5" w:rsidRDefault="00A659E4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в течение 3 дней со дня получения документов.</w:t>
            </w:r>
          </w:p>
        </w:tc>
        <w:tc>
          <w:tcPr>
            <w:tcW w:w="2383" w:type="dxa"/>
          </w:tcPr>
          <w:p w:rsidR="00A659E4" w:rsidRPr="00BF3DD5" w:rsidRDefault="00A659E4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Style w:val="9pt"/>
                <w:rFonts w:eastAsia="Courier New"/>
              </w:rPr>
              <w:t>пункт 78 Правил ТП</w:t>
            </w:r>
          </w:p>
          <w:p w:rsidR="00A659E4" w:rsidRPr="00BF3DD5" w:rsidRDefault="00A659E4" w:rsidP="002A323C">
            <w:pPr>
              <w:pStyle w:val="ad"/>
              <w:jc w:val="center"/>
              <w:rPr>
                <w:rStyle w:val="9pt"/>
                <w:rFonts w:eastAsia="Courier New"/>
              </w:rPr>
            </w:pPr>
          </w:p>
        </w:tc>
      </w:tr>
      <w:tr w:rsidR="00BF3DD5" w:rsidRPr="00BF3DD5" w:rsidTr="00BF3DD5">
        <w:tc>
          <w:tcPr>
            <w:tcW w:w="694" w:type="dxa"/>
          </w:tcPr>
          <w:p w:rsidR="00A659E4" w:rsidRPr="00BF3DD5" w:rsidRDefault="00A659E4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533" w:type="dxa"/>
          </w:tcPr>
          <w:p w:rsidR="00A659E4" w:rsidRPr="00BF3DD5" w:rsidRDefault="00C47D1C" w:rsidP="002A323C">
            <w:pPr>
              <w:pStyle w:val="ad"/>
              <w:jc w:val="center"/>
              <w:rPr>
                <w:rStyle w:val="9pt"/>
                <w:rFonts w:eastAsia="Courier New"/>
              </w:rPr>
            </w:pPr>
            <w:r w:rsidRPr="00BF3DD5">
              <w:rPr>
                <w:rStyle w:val="9pt"/>
                <w:rFonts w:eastAsia="Courier New"/>
              </w:rPr>
              <w:t>Передача документов в сбытовую компанию.</w:t>
            </w:r>
          </w:p>
        </w:tc>
        <w:tc>
          <w:tcPr>
            <w:tcW w:w="4799" w:type="dxa"/>
          </w:tcPr>
          <w:p w:rsidR="00A659E4" w:rsidRPr="00BF3DD5" w:rsidRDefault="00C47D1C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Направление сетевой организации копий восстановленных (переоформленных) технических условий и акта об осуществлении технологического присоединения соответствующему субъекту розничного рынка, в случае если у лица, обратившегося с заявлением на переоформление документов, заключен договор энергоснабжения.</w:t>
            </w:r>
          </w:p>
        </w:tc>
        <w:tc>
          <w:tcPr>
            <w:tcW w:w="2529" w:type="dxa"/>
          </w:tcPr>
          <w:p w:rsidR="00C47D1C" w:rsidRPr="00BF3DD5" w:rsidRDefault="00C47D1C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Письменно.</w:t>
            </w:r>
          </w:p>
          <w:p w:rsidR="00A659E4" w:rsidRPr="00BF3DD5" w:rsidRDefault="00C47D1C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Элект</w:t>
            </w:r>
            <w:bookmarkStart w:id="0" w:name="_GoBack"/>
            <w:bookmarkEnd w:id="0"/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ронно</w:t>
            </w:r>
            <w:proofErr w:type="spellEnd"/>
            <w:r w:rsidRPr="00BF3DD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84" w:type="dxa"/>
          </w:tcPr>
          <w:p w:rsidR="00A659E4" w:rsidRPr="00BF3DD5" w:rsidRDefault="00C47D1C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Fonts w:ascii="Times New Roman" w:hAnsi="Times New Roman" w:cs="Times New Roman"/>
                <w:sz w:val="18"/>
                <w:szCs w:val="18"/>
              </w:rPr>
              <w:t xml:space="preserve">в течение 3 дней со дня возврата </w:t>
            </w:r>
            <w:r w:rsidR="00A36401">
              <w:rPr>
                <w:rFonts w:ascii="Times New Roman" w:hAnsi="Times New Roman" w:cs="Times New Roman"/>
                <w:sz w:val="18"/>
                <w:szCs w:val="18"/>
              </w:rPr>
              <w:t>подписанных заявителем документов</w:t>
            </w:r>
          </w:p>
        </w:tc>
        <w:tc>
          <w:tcPr>
            <w:tcW w:w="2383" w:type="dxa"/>
          </w:tcPr>
          <w:p w:rsidR="00C47D1C" w:rsidRPr="00BF3DD5" w:rsidRDefault="00C47D1C" w:rsidP="002A323C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DD5">
              <w:rPr>
                <w:rStyle w:val="9pt"/>
                <w:rFonts w:eastAsia="Courier New"/>
              </w:rPr>
              <w:t>пункт 78 Правил ТП</w:t>
            </w:r>
          </w:p>
          <w:p w:rsidR="00A659E4" w:rsidRPr="00BF3DD5" w:rsidRDefault="00A659E4" w:rsidP="002A323C">
            <w:pPr>
              <w:pStyle w:val="ad"/>
              <w:jc w:val="center"/>
              <w:rPr>
                <w:rStyle w:val="9pt"/>
                <w:rFonts w:eastAsia="Courier New"/>
              </w:rPr>
            </w:pPr>
          </w:p>
        </w:tc>
      </w:tr>
    </w:tbl>
    <w:p w:rsidR="002A506A" w:rsidRDefault="002A506A" w:rsidP="00C85948">
      <w:pPr>
        <w:pStyle w:val="11"/>
        <w:shd w:val="clear" w:color="auto" w:fill="auto"/>
        <w:spacing w:before="0" w:after="279" w:line="274" w:lineRule="exact"/>
        <w:ind w:right="900"/>
        <w:jc w:val="left"/>
      </w:pPr>
    </w:p>
    <w:p w:rsidR="00C85948" w:rsidRPr="00C14668" w:rsidRDefault="00C85948" w:rsidP="00C85948">
      <w:pPr>
        <w:pStyle w:val="21"/>
        <w:shd w:val="clear" w:color="auto" w:fill="auto"/>
        <w:spacing w:before="65" w:after="0" w:line="278" w:lineRule="exact"/>
        <w:ind w:left="100" w:right="1060"/>
        <w:jc w:val="left"/>
      </w:pPr>
      <w:r w:rsidRPr="00C14668">
        <w:t xml:space="preserve">Контактная информация для направления обращений: </w:t>
      </w:r>
    </w:p>
    <w:p w:rsidR="00C85948" w:rsidRPr="00C14668" w:rsidRDefault="00C85948" w:rsidP="00C85948">
      <w:pPr>
        <w:pStyle w:val="21"/>
        <w:shd w:val="clear" w:color="auto" w:fill="auto"/>
        <w:spacing w:before="65" w:after="0" w:line="278" w:lineRule="exact"/>
        <w:ind w:left="100" w:right="-14"/>
        <w:jc w:val="left"/>
        <w:rPr>
          <w:b w:val="0"/>
        </w:rPr>
      </w:pPr>
      <w:r w:rsidRPr="00C14668">
        <w:t xml:space="preserve">- </w:t>
      </w:r>
      <w:r w:rsidRPr="00C14668">
        <w:rPr>
          <w:b w:val="0"/>
        </w:rPr>
        <w:t xml:space="preserve">Центр обслуживания клиентов по адресу: </w:t>
      </w:r>
      <w:r w:rsidR="00E80C2D">
        <w:rPr>
          <w:b w:val="0"/>
        </w:rPr>
        <w:t xml:space="preserve">Липецкая </w:t>
      </w:r>
      <w:r w:rsidRPr="00C14668">
        <w:rPr>
          <w:b w:val="0"/>
        </w:rPr>
        <w:t xml:space="preserve">область, </w:t>
      </w:r>
      <w:r w:rsidR="00E80C2D">
        <w:rPr>
          <w:b w:val="0"/>
        </w:rPr>
        <w:t>г. Липецк, ул. Генерала Меркулова 31</w:t>
      </w:r>
      <w:proofErr w:type="gramStart"/>
      <w:r w:rsidR="00E80C2D">
        <w:rPr>
          <w:b w:val="0"/>
        </w:rPr>
        <w:t>А</w:t>
      </w:r>
      <w:r w:rsidRPr="00C14668">
        <w:rPr>
          <w:b w:val="0"/>
        </w:rPr>
        <w:t xml:space="preserve">,  </w:t>
      </w:r>
      <w:r w:rsidR="00E80C2D">
        <w:rPr>
          <w:b w:val="0"/>
        </w:rPr>
        <w:t>+</w:t>
      </w:r>
      <w:proofErr w:type="gramEnd"/>
      <w:r w:rsidR="00E80C2D">
        <w:rPr>
          <w:b w:val="0"/>
        </w:rPr>
        <w:t>7 (4742) 55-50-30</w:t>
      </w:r>
      <w:r w:rsidRPr="00C14668">
        <w:rPr>
          <w:b w:val="0"/>
        </w:rPr>
        <w:t xml:space="preserve"> </w:t>
      </w:r>
    </w:p>
    <w:p w:rsidR="00C85948" w:rsidRPr="00C14668" w:rsidRDefault="00C85948" w:rsidP="00C85948">
      <w:pPr>
        <w:pStyle w:val="21"/>
        <w:shd w:val="clear" w:color="auto" w:fill="auto"/>
        <w:spacing w:before="65" w:after="0" w:line="278" w:lineRule="exact"/>
        <w:ind w:left="100" w:right="1060"/>
        <w:jc w:val="left"/>
      </w:pPr>
      <w:r w:rsidRPr="00C14668">
        <w:rPr>
          <w:b w:val="0"/>
        </w:rPr>
        <w:t xml:space="preserve">- Портал потребителя </w:t>
      </w:r>
    </w:p>
    <w:p w:rsidR="00BA1AEB" w:rsidRDefault="00BA1AEB">
      <w:pPr>
        <w:pStyle w:val="20"/>
        <w:shd w:val="clear" w:color="auto" w:fill="auto"/>
        <w:spacing w:after="0" w:line="226" w:lineRule="exact"/>
        <w:ind w:left="20" w:right="40"/>
        <w:jc w:val="both"/>
      </w:pPr>
    </w:p>
    <w:sectPr w:rsidR="00BA1AEB">
      <w:type w:val="continuous"/>
      <w:pgSz w:w="16838" w:h="11909" w:orient="landscape"/>
      <w:pgMar w:top="688" w:right="1094" w:bottom="688" w:left="11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03E7" w:rsidRDefault="004A03E7">
      <w:r>
        <w:separator/>
      </w:r>
    </w:p>
  </w:endnote>
  <w:endnote w:type="continuationSeparator" w:id="0">
    <w:p w:rsidR="004A03E7" w:rsidRDefault="004A0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03E7" w:rsidRDefault="004A03E7"/>
  </w:footnote>
  <w:footnote w:type="continuationSeparator" w:id="0">
    <w:p w:rsidR="004A03E7" w:rsidRDefault="004A03E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E7C8C"/>
    <w:multiLevelType w:val="multilevel"/>
    <w:tmpl w:val="9F3E87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3A2DBF"/>
    <w:multiLevelType w:val="multilevel"/>
    <w:tmpl w:val="6900AC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B47D70"/>
    <w:multiLevelType w:val="multilevel"/>
    <w:tmpl w:val="E724E7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2D4BB5"/>
    <w:multiLevelType w:val="multilevel"/>
    <w:tmpl w:val="26389DC4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E80AE0"/>
    <w:multiLevelType w:val="multilevel"/>
    <w:tmpl w:val="BA248F0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D449BA"/>
    <w:multiLevelType w:val="multilevel"/>
    <w:tmpl w:val="76F640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DE01694"/>
    <w:multiLevelType w:val="multilevel"/>
    <w:tmpl w:val="A68A94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D7A4295"/>
    <w:multiLevelType w:val="multilevel"/>
    <w:tmpl w:val="0652E0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5ED56FC"/>
    <w:multiLevelType w:val="multilevel"/>
    <w:tmpl w:val="7986AA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A1AEB"/>
    <w:rsid w:val="000B15F4"/>
    <w:rsid w:val="000D7899"/>
    <w:rsid w:val="000E089D"/>
    <w:rsid w:val="000E72F6"/>
    <w:rsid w:val="00132EB4"/>
    <w:rsid w:val="00136654"/>
    <w:rsid w:val="001F3AF8"/>
    <w:rsid w:val="002735BF"/>
    <w:rsid w:val="0028743F"/>
    <w:rsid w:val="002A323C"/>
    <w:rsid w:val="002A506A"/>
    <w:rsid w:val="003118CB"/>
    <w:rsid w:val="00362CFC"/>
    <w:rsid w:val="00410FB7"/>
    <w:rsid w:val="004640FF"/>
    <w:rsid w:val="0047453A"/>
    <w:rsid w:val="00480DE9"/>
    <w:rsid w:val="004A03E7"/>
    <w:rsid w:val="004D72B7"/>
    <w:rsid w:val="004E0A31"/>
    <w:rsid w:val="00501B62"/>
    <w:rsid w:val="005C7383"/>
    <w:rsid w:val="00606297"/>
    <w:rsid w:val="00676F20"/>
    <w:rsid w:val="006F51AE"/>
    <w:rsid w:val="0073029B"/>
    <w:rsid w:val="00802779"/>
    <w:rsid w:val="008035F8"/>
    <w:rsid w:val="008B48A5"/>
    <w:rsid w:val="008F05DE"/>
    <w:rsid w:val="009443A6"/>
    <w:rsid w:val="009A1C14"/>
    <w:rsid w:val="00A36401"/>
    <w:rsid w:val="00A44E8F"/>
    <w:rsid w:val="00A659E4"/>
    <w:rsid w:val="00A96A53"/>
    <w:rsid w:val="00B2078A"/>
    <w:rsid w:val="00B85FAB"/>
    <w:rsid w:val="00BA1AEB"/>
    <w:rsid w:val="00BF3DD5"/>
    <w:rsid w:val="00C111AA"/>
    <w:rsid w:val="00C47D1C"/>
    <w:rsid w:val="00C85948"/>
    <w:rsid w:val="00D9045F"/>
    <w:rsid w:val="00DB2D60"/>
    <w:rsid w:val="00DD3B1D"/>
    <w:rsid w:val="00DE32B5"/>
    <w:rsid w:val="00E5037A"/>
    <w:rsid w:val="00E80C2D"/>
    <w:rsid w:val="00F2109D"/>
    <w:rsid w:val="00F30860"/>
    <w:rsid w:val="00F429DD"/>
    <w:rsid w:val="00FF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64253"/>
  <w15:docId w15:val="{9C8BD573-5757-4C68-86E8-010192976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8B48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9pt">
    <w:name w:val="Основной текст + 9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pt0">
    <w:name w:val="Основной текст + 9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230" w:lineRule="exact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styleId="a5">
    <w:name w:val="annotation reference"/>
    <w:basedOn w:val="a0"/>
    <w:uiPriority w:val="99"/>
    <w:semiHidden/>
    <w:unhideWhenUsed/>
    <w:rsid w:val="000B15F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B15F4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B15F4"/>
    <w:rPr>
      <w:color w:val="000000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B15F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B15F4"/>
    <w:rPr>
      <w:b/>
      <w:bCs/>
      <w:color w:val="000000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B15F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B15F4"/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rsid w:val="000B15F4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table" w:styleId="ac">
    <w:name w:val="Table Grid"/>
    <w:basedOn w:val="a1"/>
    <w:uiPriority w:val="59"/>
    <w:rsid w:val="00410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8B48A5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8B48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nformat">
    <w:name w:val="ConsPlusNonformat"/>
    <w:rsid w:val="00DD3B1D"/>
    <w:pPr>
      <w:autoSpaceDE w:val="0"/>
      <w:autoSpaceDN w:val="0"/>
    </w:pPr>
    <w:rPr>
      <w:rFonts w:eastAsia="Times New Roman"/>
      <w:sz w:val="20"/>
      <w:szCs w:val="20"/>
      <w:lang w:bidi="ar-SA"/>
    </w:rPr>
  </w:style>
  <w:style w:type="paragraph" w:customStyle="1" w:styleId="21">
    <w:name w:val="Основной текст2"/>
    <w:basedOn w:val="a"/>
    <w:rsid w:val="00C85948"/>
    <w:pPr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1414</Words>
  <Characters>8063</Characters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pril_6._ПАСПОРТ_УСЛУГИ_Восстановление_(переоформление).docx</vt:lpstr>
    </vt:vector>
  </TitlesOfParts>
  <Company/>
  <LinksUpToDate>false</LinksUpToDate>
  <CharactersWithSpaces>9459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2018-10-30T12:55:00Z</dcterms:created>
  <dcterms:modified xsi:type="dcterms:W3CDTF">2024-10-29T08:49:00Z</dcterms:modified>
</cp:coreProperties>
</file>