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D9A" w:rsidRDefault="005C3C76">
      <w:pPr>
        <w:pStyle w:val="20"/>
        <w:shd w:val="clear" w:color="auto" w:fill="auto"/>
        <w:ind w:left="9640" w:right="940"/>
      </w:pPr>
      <w:r>
        <w:t xml:space="preserve"> </w:t>
      </w:r>
      <w:r w:rsidR="001E0777">
        <w:t>Приложение № 1 к Единым стандартам качества обслуживания сетевыми организациями потребителей услуг сетевых организаций</w:t>
      </w:r>
    </w:p>
    <w:p w:rsidR="00004D9A" w:rsidRDefault="001E0777">
      <w:pPr>
        <w:pStyle w:val="21"/>
        <w:shd w:val="clear" w:color="auto" w:fill="auto"/>
        <w:spacing w:before="0" w:after="74" w:line="230" w:lineRule="exact"/>
        <w:ind w:right="20"/>
      </w:pPr>
      <w:r>
        <w:t>ПАСПОРТ УСЛУГИ (ПРОЦЕССА) СЕТЕВОЙ ОРГАНИЗАЦИИ</w:t>
      </w:r>
    </w:p>
    <w:p w:rsidR="00004D9A" w:rsidRDefault="001E0777">
      <w:pPr>
        <w:pStyle w:val="21"/>
        <w:shd w:val="clear" w:color="auto" w:fill="auto"/>
        <w:spacing w:before="0" w:after="0" w:line="278" w:lineRule="exact"/>
        <w:ind w:right="20"/>
      </w:pPr>
      <w:r>
        <w:rPr>
          <w:rStyle w:val="1"/>
        </w:rPr>
        <w:t>Технологического присоединения энергопринимающих устройств потребителей электрической энергии посредством</w:t>
      </w:r>
      <w:r>
        <w:t xml:space="preserve"> </w:t>
      </w:r>
      <w:r>
        <w:rPr>
          <w:rStyle w:val="1"/>
        </w:rPr>
        <w:t>перераспределения максимальной мощности между юридическими лицами и индивидуальными предпринимателями, а также</w:t>
      </w:r>
      <w:r>
        <w:t xml:space="preserve"> особенности отказа потребителей электрической энергии от максимальной мощности в пользу сетевой организации</w:t>
      </w:r>
    </w:p>
    <w:p w:rsidR="00004D9A" w:rsidRDefault="001E0777">
      <w:pPr>
        <w:pStyle w:val="20"/>
        <w:shd w:val="clear" w:color="auto" w:fill="auto"/>
        <w:spacing w:after="273" w:line="180" w:lineRule="exact"/>
        <w:ind w:right="20"/>
        <w:jc w:val="center"/>
      </w:pPr>
      <w:r>
        <w:t>наименование услуги (процесса)</w:t>
      </w:r>
    </w:p>
    <w:p w:rsidR="00004D9A" w:rsidRDefault="001E0777" w:rsidP="00C61580">
      <w:pPr>
        <w:pStyle w:val="21"/>
        <w:shd w:val="clear" w:color="auto" w:fill="auto"/>
        <w:spacing w:before="0" w:after="0" w:line="274" w:lineRule="exact"/>
        <w:ind w:left="20"/>
        <w:jc w:val="both"/>
      </w:pPr>
      <w:r w:rsidRPr="00EB2914">
        <w:rPr>
          <w:b/>
        </w:rPr>
        <w:t>Круг заявителей:</w:t>
      </w:r>
      <w:r>
        <w:t xml:space="preserve"> Юридические лица, индивидуальные предприниматели.</w:t>
      </w:r>
    </w:p>
    <w:p w:rsidR="00EB2914" w:rsidRDefault="001E0777" w:rsidP="00C61580">
      <w:pPr>
        <w:pStyle w:val="21"/>
        <w:shd w:val="clear" w:color="auto" w:fill="auto"/>
        <w:spacing w:before="0" w:after="0" w:line="274" w:lineRule="exact"/>
        <w:ind w:left="20"/>
        <w:jc w:val="both"/>
      </w:pPr>
      <w:r w:rsidRPr="00EB2914">
        <w:rPr>
          <w:b/>
        </w:rPr>
        <w:t>Размер платы за предоставление услуги (процесса) и основание ее взимания</w:t>
      </w:r>
      <w:r>
        <w:t xml:space="preserve">: Тарифы, утвержденные органом исполнительной власти субъекта РФ на период регулирования, ответственным за тарифное регулирование </w:t>
      </w:r>
    </w:p>
    <w:p w:rsidR="00204481" w:rsidRDefault="001E0777" w:rsidP="00C61580">
      <w:pPr>
        <w:pStyle w:val="21"/>
        <w:shd w:val="clear" w:color="auto" w:fill="auto"/>
        <w:spacing w:before="0" w:after="0" w:line="274" w:lineRule="exact"/>
        <w:ind w:left="20"/>
        <w:jc w:val="both"/>
        <w:rPr>
          <w:b/>
        </w:rPr>
      </w:pPr>
      <w:r w:rsidRPr="00EB2914">
        <w:rPr>
          <w:b/>
        </w:rPr>
        <w:t>Условия оказания услуги (процесса):</w:t>
      </w:r>
    </w:p>
    <w:p w:rsidR="00004D9A" w:rsidRDefault="001E0777" w:rsidP="002D2280">
      <w:pPr>
        <w:pStyle w:val="21"/>
        <w:shd w:val="clear" w:color="auto" w:fill="auto"/>
        <w:spacing w:before="0" w:after="0" w:line="274" w:lineRule="exact"/>
        <w:ind w:left="20" w:firstLine="689"/>
        <w:jc w:val="both"/>
      </w:pPr>
      <w:r>
        <w:t>а)</w:t>
      </w:r>
      <w:r w:rsidR="00204481" w:rsidRPr="00204481">
        <w:t xml:space="preserve"> </w:t>
      </w:r>
      <w:r w:rsidR="00204481">
        <w:t>Предоставление уведомления, оформленного на основании соглашения о перераспределении максимальной мощности, заключенного между лицом, имеющим на праве собственности или на ином законном основании энергопринимающие устройства, в отношении которых до 1 января 2009 г. в установленном порядке было осуществлено технологическое присоединение к электрическим сетям, и иным владельцем в пределах действия соответствующего центра питания, с предоставлением сведений и документов, прилагаемых к уведомлению о перераспределении.</w:t>
      </w:r>
    </w:p>
    <w:p w:rsidR="00004D9A" w:rsidRDefault="001E0777">
      <w:pPr>
        <w:pStyle w:val="21"/>
        <w:shd w:val="clear" w:color="auto" w:fill="auto"/>
        <w:spacing w:before="0" w:after="0" w:line="274" w:lineRule="exact"/>
        <w:ind w:left="20" w:firstLine="720"/>
        <w:jc w:val="both"/>
      </w:pPr>
      <w:r>
        <w:t>б) Перераспределение возможно в пределах действия одн</w:t>
      </w:r>
      <w:r w:rsidR="00F87B98">
        <w:t>о</w:t>
      </w:r>
      <w:r>
        <w:t xml:space="preserve">го центра питания (при осуществлении перераспределения максимальной мощности в электрических сетях классом напряжения от 0,4 до 35 </w:t>
      </w:r>
      <w:proofErr w:type="spellStart"/>
      <w:r>
        <w:t>кВ</w:t>
      </w:r>
      <w:proofErr w:type="spellEnd"/>
      <w:r>
        <w:t xml:space="preserve"> центром питания считается питающая подстанция с классом напряжения 35 </w:t>
      </w:r>
      <w:proofErr w:type="spellStart"/>
      <w:r>
        <w:t>кВ</w:t>
      </w:r>
      <w:proofErr w:type="spellEnd"/>
      <w:r>
        <w:t xml:space="preserve">, при осуществлении перераспределения максимальной мощности в электрических сетях классом напряжения свыше 35 </w:t>
      </w:r>
      <w:proofErr w:type="spellStart"/>
      <w:r>
        <w:t>кВ</w:t>
      </w:r>
      <w:proofErr w:type="spellEnd"/>
      <w:r>
        <w:t xml:space="preserve"> центром питания считается распределительное устройство подстанции</w:t>
      </w:r>
      <w:r w:rsidR="00204481">
        <w:t xml:space="preserve">, </w:t>
      </w:r>
      <w:r w:rsidR="00204481" w:rsidRPr="00204481">
        <w:t>к которому осуществлено технологическое присоединение энергопринимающих устройств лица, перераспределяющего свою максимальную мощность</w:t>
      </w:r>
      <w:r>
        <w:t>;</w:t>
      </w:r>
    </w:p>
    <w:p w:rsidR="00204481" w:rsidRDefault="001E0777">
      <w:pPr>
        <w:pStyle w:val="21"/>
        <w:shd w:val="clear" w:color="auto" w:fill="auto"/>
        <w:spacing w:before="0" w:after="0" w:line="274" w:lineRule="exact"/>
        <w:ind w:left="20" w:firstLine="720"/>
        <w:jc w:val="both"/>
      </w:pPr>
      <w:r>
        <w:t xml:space="preserve">в) </w:t>
      </w:r>
      <w:r w:rsidR="00204481">
        <w:t>П</w:t>
      </w:r>
      <w:r w:rsidR="00204481" w:rsidRPr="00204481">
        <w:t>отребители электрической энергии вправе перераспределять свою максимальную мощность в пользу потребителей, энергоснабжение энергопринимающих устройств которых осуществляется в рамках одной категории  надежности электроснабжения</w:t>
      </w:r>
    </w:p>
    <w:p w:rsidR="00204481" w:rsidRDefault="001E0777">
      <w:pPr>
        <w:pStyle w:val="21"/>
        <w:shd w:val="clear" w:color="auto" w:fill="auto"/>
        <w:spacing w:before="0" w:after="0" w:line="274" w:lineRule="exact"/>
        <w:ind w:left="20" w:firstLine="720"/>
        <w:jc w:val="both"/>
      </w:pPr>
      <w:r>
        <w:t xml:space="preserve">г) </w:t>
      </w:r>
      <w:r w:rsidR="00204481">
        <w:t>Не допускается снижение объема максимальной мощности собственных энергопринимающих устройств с одновременным перераспределением объема снижения максимальной мощности в пользу следующих  лиц:</w:t>
      </w:r>
    </w:p>
    <w:p w:rsidR="00204481" w:rsidRDefault="00204481">
      <w:pPr>
        <w:pStyle w:val="21"/>
        <w:shd w:val="clear" w:color="auto" w:fill="auto"/>
        <w:spacing w:before="0" w:after="0" w:line="274" w:lineRule="exact"/>
        <w:ind w:left="20" w:firstLine="720"/>
        <w:jc w:val="both"/>
      </w:pPr>
      <w:r>
        <w:t xml:space="preserve">- юридические лица и индивидуальные предприниматели до 150 кВт включительно (с учетом ранее присоединенных в данной точке присоединения энергопринимающих устройств) по 3 категории надежности, </w:t>
      </w:r>
    </w:p>
    <w:p w:rsidR="00204481" w:rsidRDefault="00204481">
      <w:pPr>
        <w:pStyle w:val="21"/>
        <w:shd w:val="clear" w:color="auto" w:fill="auto"/>
        <w:spacing w:before="0" w:after="0" w:line="274" w:lineRule="exact"/>
        <w:ind w:left="20" w:firstLine="720"/>
        <w:jc w:val="both"/>
      </w:pPr>
      <w:r>
        <w:t>- лица, намеревающиеся осуществить присоединение по временной схеме электроснабжения,</w:t>
      </w:r>
    </w:p>
    <w:p w:rsidR="00204481" w:rsidRDefault="00204481">
      <w:pPr>
        <w:pStyle w:val="21"/>
        <w:shd w:val="clear" w:color="auto" w:fill="auto"/>
        <w:spacing w:before="0" w:after="0" w:line="274" w:lineRule="exact"/>
        <w:ind w:left="20" w:firstLine="720"/>
        <w:jc w:val="both"/>
      </w:pPr>
      <w:r>
        <w:lastRenderedPageBreak/>
        <w:t>- физические лица, максимальная мощность которых составляет до 15 кВт включительно.</w:t>
      </w:r>
    </w:p>
    <w:p w:rsidR="00004D9A" w:rsidRDefault="00204481">
      <w:pPr>
        <w:pStyle w:val="21"/>
        <w:shd w:val="clear" w:color="auto" w:fill="auto"/>
        <w:spacing w:before="0" w:after="0" w:line="274" w:lineRule="exact"/>
        <w:ind w:left="20" w:firstLine="720"/>
        <w:jc w:val="both"/>
      </w:pPr>
      <w:r>
        <w:t>- лица, не внесшие плату за технологическое присоединение либо внесшие плату за технологическое присоединение не в полном объеме.</w:t>
      </w:r>
    </w:p>
    <w:p w:rsidR="00004D9A" w:rsidRDefault="001E0777">
      <w:pPr>
        <w:pStyle w:val="21"/>
        <w:shd w:val="clear" w:color="auto" w:fill="auto"/>
        <w:spacing w:before="0" w:after="0" w:line="274" w:lineRule="exact"/>
        <w:ind w:left="20" w:firstLine="720"/>
        <w:jc w:val="both"/>
      </w:pPr>
      <w:r>
        <w:t xml:space="preserve">д) Технологическое присоединение лица, заинтересованного в перераспределении мощности, осуществляется </w:t>
      </w:r>
      <w:r w:rsidR="00D90F13">
        <w:t>п</w:t>
      </w:r>
      <w:bookmarkStart w:id="0" w:name="_GoBack"/>
      <w:bookmarkEnd w:id="0"/>
      <w:r w:rsidR="00204481">
        <w:t>осле выполнения мероприятий по технологическому присоединению.</w:t>
      </w:r>
    </w:p>
    <w:p w:rsidR="008A474D" w:rsidRDefault="001E0777" w:rsidP="00C61580">
      <w:pPr>
        <w:pStyle w:val="21"/>
        <w:shd w:val="clear" w:color="auto" w:fill="auto"/>
        <w:spacing w:before="0" w:after="0" w:line="274" w:lineRule="exact"/>
        <w:ind w:left="20"/>
        <w:jc w:val="both"/>
      </w:pPr>
      <w:r w:rsidRPr="008A474D">
        <w:rPr>
          <w:b/>
        </w:rPr>
        <w:t>Результат оказания услуги (процесса</w:t>
      </w:r>
      <w:r>
        <w:t xml:space="preserve">): Технологическое присоединение посредством перераспределения максимальной мощности </w:t>
      </w:r>
    </w:p>
    <w:p w:rsidR="00004D9A" w:rsidRDefault="001E0777" w:rsidP="00C61580">
      <w:pPr>
        <w:pStyle w:val="21"/>
        <w:shd w:val="clear" w:color="auto" w:fill="auto"/>
        <w:spacing w:before="0" w:after="0" w:line="274" w:lineRule="exact"/>
        <w:ind w:left="20"/>
        <w:jc w:val="both"/>
      </w:pPr>
      <w:r w:rsidRPr="008A474D">
        <w:rPr>
          <w:b/>
        </w:rPr>
        <w:t>Общий срок оказания услуги (процесса)</w:t>
      </w:r>
      <w:r>
        <w:t>: Не более 1 года</w:t>
      </w:r>
    </w:p>
    <w:p w:rsidR="008A474D" w:rsidRDefault="008A474D" w:rsidP="00C61580">
      <w:pPr>
        <w:pStyle w:val="21"/>
        <w:shd w:val="clear" w:color="auto" w:fill="auto"/>
        <w:spacing w:before="0" w:after="74" w:line="230" w:lineRule="exact"/>
        <w:ind w:left="120"/>
        <w:jc w:val="both"/>
      </w:pPr>
    </w:p>
    <w:p w:rsidR="00004D9A" w:rsidRDefault="001E0777" w:rsidP="00BD1654">
      <w:pPr>
        <w:pStyle w:val="21"/>
        <w:shd w:val="clear" w:color="auto" w:fill="auto"/>
        <w:spacing w:before="0" w:after="74" w:line="230" w:lineRule="exact"/>
        <w:jc w:val="left"/>
        <w:rPr>
          <w:b/>
        </w:rPr>
      </w:pPr>
      <w:r w:rsidRPr="008A474D">
        <w:rPr>
          <w:b/>
        </w:rPr>
        <w:t>Состав, последовательность и сроки оказания услуги (процесса):</w:t>
      </w:r>
    </w:p>
    <w:tbl>
      <w:tblPr>
        <w:tblStyle w:val="af"/>
        <w:tblW w:w="14709" w:type="dxa"/>
        <w:tblLook w:val="04A0" w:firstRow="1" w:lastRow="0" w:firstColumn="1" w:lastColumn="0" w:noHBand="0" w:noVBand="1"/>
      </w:tblPr>
      <w:tblGrid>
        <w:gridCol w:w="474"/>
        <w:gridCol w:w="1852"/>
        <w:gridCol w:w="5437"/>
        <w:gridCol w:w="1843"/>
        <w:gridCol w:w="2835"/>
        <w:gridCol w:w="2268"/>
      </w:tblGrid>
      <w:tr w:rsidR="00BD1654" w:rsidRPr="00BD1654" w:rsidTr="00BD1654">
        <w:tc>
          <w:tcPr>
            <w:tcW w:w="474" w:type="dxa"/>
            <w:vAlign w:val="center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Style w:val="10pt"/>
                <w:rFonts w:eastAsiaTheme="minorHAnsi"/>
                <w:sz w:val="18"/>
                <w:szCs w:val="18"/>
              </w:rPr>
              <w:t>№</w:t>
            </w: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Style w:val="10pt"/>
                <w:rFonts w:eastAsiaTheme="minorHAnsi"/>
                <w:sz w:val="18"/>
                <w:szCs w:val="18"/>
              </w:rPr>
              <w:t>п/п</w:t>
            </w:r>
          </w:p>
        </w:tc>
        <w:tc>
          <w:tcPr>
            <w:tcW w:w="1852" w:type="dxa"/>
            <w:vAlign w:val="center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Style w:val="10pt"/>
                <w:rFonts w:eastAsiaTheme="minorHAnsi"/>
                <w:sz w:val="18"/>
                <w:szCs w:val="18"/>
              </w:rPr>
              <w:t>Этап</w:t>
            </w:r>
          </w:p>
        </w:tc>
        <w:tc>
          <w:tcPr>
            <w:tcW w:w="5437" w:type="dxa"/>
            <w:vAlign w:val="center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Style w:val="10pt"/>
                <w:rFonts w:eastAsiaTheme="minorHAnsi"/>
                <w:sz w:val="18"/>
                <w:szCs w:val="18"/>
              </w:rPr>
              <w:t>Содержание/условия этапа</w:t>
            </w:r>
          </w:p>
        </w:tc>
        <w:tc>
          <w:tcPr>
            <w:tcW w:w="1843" w:type="dxa"/>
            <w:vAlign w:val="center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Style w:val="10pt"/>
                <w:rFonts w:eastAsiaTheme="minorHAnsi"/>
                <w:sz w:val="18"/>
                <w:szCs w:val="18"/>
              </w:rPr>
              <w:t>Форма</w:t>
            </w: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Style w:val="10pt"/>
                <w:rFonts w:eastAsiaTheme="minorHAnsi"/>
                <w:sz w:val="18"/>
                <w:szCs w:val="18"/>
              </w:rPr>
              <w:t>предоставления</w:t>
            </w:r>
          </w:p>
        </w:tc>
        <w:tc>
          <w:tcPr>
            <w:tcW w:w="2835" w:type="dxa"/>
            <w:vAlign w:val="center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Style w:val="10pt"/>
                <w:rFonts w:eastAsiaTheme="minorHAnsi"/>
                <w:sz w:val="18"/>
                <w:szCs w:val="18"/>
              </w:rPr>
              <w:t>Срок исполнения</w:t>
            </w:r>
          </w:p>
        </w:tc>
        <w:tc>
          <w:tcPr>
            <w:tcW w:w="2268" w:type="dxa"/>
            <w:vAlign w:val="center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Style w:val="10pt"/>
                <w:rFonts w:eastAsiaTheme="minorHAnsi"/>
                <w:sz w:val="18"/>
                <w:szCs w:val="18"/>
              </w:rPr>
              <w:t>Ссылка на нормативный правовой акт</w:t>
            </w:r>
          </w:p>
        </w:tc>
      </w:tr>
      <w:tr w:rsidR="00BD1654" w:rsidRPr="00BD1654" w:rsidTr="00BD1654">
        <w:tc>
          <w:tcPr>
            <w:tcW w:w="474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852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Уведомление о перераспределении мощности</w:t>
            </w:r>
          </w:p>
        </w:tc>
        <w:tc>
          <w:tcPr>
            <w:tcW w:w="5437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уведомления и подписанного сторонами соглашения о перераспределении мощности  лицами, заключившими данное соглашение между принадлежащими им энергопринимающими устройствами,  в сетевую организацию с предоставлением необходимых сведений и документов.  </w:t>
            </w:r>
          </w:p>
        </w:tc>
        <w:tc>
          <w:tcPr>
            <w:tcW w:w="1843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Электронная, Очная</w:t>
            </w:r>
          </w:p>
        </w:tc>
        <w:tc>
          <w:tcPr>
            <w:tcW w:w="2835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В день подачи</w:t>
            </w:r>
          </w:p>
        </w:tc>
        <w:tc>
          <w:tcPr>
            <w:tcW w:w="2268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п. 34 Правил технологического присоединения</w:t>
            </w:r>
          </w:p>
        </w:tc>
      </w:tr>
      <w:tr w:rsidR="00BD1654" w:rsidRPr="00BD1654" w:rsidTr="00BD1654">
        <w:tc>
          <w:tcPr>
            <w:tcW w:w="474" w:type="dxa"/>
            <w:vMerge w:val="restart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852" w:type="dxa"/>
            <w:vMerge w:val="restart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Формирование и подготовка технических условий</w:t>
            </w:r>
          </w:p>
        </w:tc>
        <w:tc>
          <w:tcPr>
            <w:tcW w:w="5437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сетевой организации лицу, в пользу которого перераспределяется максимальная мощность энергопринимающих устройств,  подготовленных технических условий </w:t>
            </w:r>
          </w:p>
        </w:tc>
        <w:tc>
          <w:tcPr>
            <w:tcW w:w="1843" w:type="dxa"/>
            <w:vMerge w:val="restart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2835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15 дней (если не указан другой срок в договоре)</w:t>
            </w:r>
          </w:p>
        </w:tc>
        <w:tc>
          <w:tcPr>
            <w:tcW w:w="2268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п. 34, 37 Правил технологического присоединения</w:t>
            </w:r>
          </w:p>
        </w:tc>
      </w:tr>
      <w:tr w:rsidR="00BD1654" w:rsidRPr="00BD1654" w:rsidTr="00BD1654">
        <w:trPr>
          <w:trHeight w:val="1187"/>
        </w:trPr>
        <w:tc>
          <w:tcPr>
            <w:tcW w:w="474" w:type="dxa"/>
            <w:vMerge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  <w:vMerge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7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Направление сетевой организации лицу, максимальная мощность энергопринимающих устройств которого перераспределяется по соглашению о перераспределении мощности,  технических условий с внесёнными изменениями</w:t>
            </w:r>
          </w:p>
        </w:tc>
        <w:tc>
          <w:tcPr>
            <w:tcW w:w="1843" w:type="dxa"/>
            <w:vMerge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10 рабочих дней со дня выдачи технических условий лицу, в пользу которого перераспределяется максимальная мощность </w:t>
            </w:r>
          </w:p>
        </w:tc>
        <w:tc>
          <w:tcPr>
            <w:tcW w:w="2268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п. 38  Правил технологического присоединения</w:t>
            </w:r>
          </w:p>
        </w:tc>
      </w:tr>
      <w:tr w:rsidR="00BD1654" w:rsidRPr="00BD1654" w:rsidTr="00BD1654">
        <w:trPr>
          <w:trHeight w:val="1490"/>
        </w:trPr>
        <w:tc>
          <w:tcPr>
            <w:tcW w:w="474" w:type="dxa"/>
            <w:vMerge w:val="restart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852" w:type="dxa"/>
            <w:vMerge w:val="restart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в полном объёме мероприятий по технологическому присоединению  </w:t>
            </w:r>
          </w:p>
        </w:tc>
        <w:tc>
          <w:tcPr>
            <w:tcW w:w="5437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по технологическому присоединению энергопринимающих устройств лиц, в пользу которых предполагается перераспределить максимальную мощность:</w:t>
            </w: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- Без мероприятий со стороны СО до 670 кВт</w:t>
            </w: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- Без мероприятий со стороны СО свыше 670 кВт</w:t>
            </w: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- С мероприятиями со стороны СО</w:t>
            </w:r>
          </w:p>
        </w:tc>
        <w:tc>
          <w:tcPr>
            <w:tcW w:w="1843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5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Не более 120 дней</w:t>
            </w: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Не более 1 года</w:t>
            </w: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6 месяцев</w:t>
            </w:r>
          </w:p>
        </w:tc>
        <w:tc>
          <w:tcPr>
            <w:tcW w:w="2268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п. 37, 16 Правил технологического присоединения</w:t>
            </w: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1654" w:rsidRPr="00BD1654" w:rsidTr="00BD1654">
        <w:tc>
          <w:tcPr>
            <w:tcW w:w="474" w:type="dxa"/>
            <w:vMerge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  <w:vMerge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7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Осуществление сетевой организацией мероприятий по технологическому присоединению, в случае  перераспределения мощности в пределах действия одного центра питания лицом, ранее присоединенным к электрическим сетям, в пользу лица, ранее присоединенного к электрическим сетям</w:t>
            </w:r>
          </w:p>
        </w:tc>
        <w:tc>
          <w:tcPr>
            <w:tcW w:w="1843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5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Не более 30 дней</w:t>
            </w:r>
          </w:p>
        </w:tc>
        <w:tc>
          <w:tcPr>
            <w:tcW w:w="2268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п. 37  Правил технологического присоединения</w:t>
            </w:r>
          </w:p>
        </w:tc>
      </w:tr>
      <w:tr w:rsidR="00BD1654" w:rsidRPr="00BD1654" w:rsidTr="00BD1654">
        <w:tc>
          <w:tcPr>
            <w:tcW w:w="474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852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 xml:space="preserve">Присоединение энергопринимающих </w:t>
            </w:r>
            <w:r w:rsidRPr="00BD16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устройств </w:t>
            </w:r>
          </w:p>
        </w:tc>
        <w:tc>
          <w:tcPr>
            <w:tcW w:w="5437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Осуществление сетевой организацией фактического присоединения энергопринимающих устройств лица, в пользу </w:t>
            </w:r>
            <w:r w:rsidRPr="00BD16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которого перераспределена максимальная мощность, к электрическим сетям и фактического приема (подачи) напряжения и мощности </w:t>
            </w:r>
          </w:p>
        </w:tc>
        <w:tc>
          <w:tcPr>
            <w:tcW w:w="1843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835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п. 37  Правил технологического присоединения</w:t>
            </w:r>
          </w:p>
        </w:tc>
      </w:tr>
      <w:tr w:rsidR="00BD1654" w:rsidRPr="00BD1654" w:rsidTr="00BD1654">
        <w:tc>
          <w:tcPr>
            <w:tcW w:w="474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1852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Оформление технической документации.</w:t>
            </w: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Получение Актов.</w:t>
            </w:r>
          </w:p>
        </w:tc>
        <w:tc>
          <w:tcPr>
            <w:tcW w:w="5437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Внесение изменений в документы,  предусматривающие взаимодействие с сетевой организацией, и подписание документов о технологическом присоединении, фиксирующих объем максимальной мощности после ее перераспределения, в соответствии с соглашением о перераспределении мощности.</w:t>
            </w:r>
          </w:p>
        </w:tc>
        <w:tc>
          <w:tcPr>
            <w:tcW w:w="1843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п. 37  Правил технологического присоединения</w:t>
            </w:r>
          </w:p>
        </w:tc>
      </w:tr>
      <w:tr w:rsidR="00BD1654" w:rsidRPr="00BD1654" w:rsidTr="00BD1654">
        <w:tc>
          <w:tcPr>
            <w:tcW w:w="474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1852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Передача документов в энергосбытовую компанию</w:t>
            </w:r>
          </w:p>
        </w:tc>
        <w:tc>
          <w:tcPr>
            <w:tcW w:w="5437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Сетевая организация направляет копии переоформленных технических условий и акта об осуществлении технологического присоединения лица, осуществившего перераспределение максимальной мощности в пользу иного лица, а также акта об осуществлении технологического присоединения лица, в чью пользу была перераспределена максимальная мощность, субъекту розничного рынка, с которым у лица, осуществившего перераспределение максимальной мощности, заключен договор энергоснабжения.</w:t>
            </w:r>
          </w:p>
        </w:tc>
        <w:tc>
          <w:tcPr>
            <w:tcW w:w="1843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Электронная, Очная</w:t>
            </w:r>
          </w:p>
        </w:tc>
        <w:tc>
          <w:tcPr>
            <w:tcW w:w="2835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течении  3</w:t>
            </w:r>
            <w:proofErr w:type="gramEnd"/>
            <w:r w:rsidRPr="00BD1654">
              <w:rPr>
                <w:rFonts w:ascii="Times New Roman" w:hAnsi="Times New Roman" w:cs="Times New Roman"/>
                <w:sz w:val="18"/>
                <w:szCs w:val="18"/>
              </w:rPr>
              <w:t xml:space="preserve"> дней</w:t>
            </w:r>
          </w:p>
        </w:tc>
        <w:tc>
          <w:tcPr>
            <w:tcW w:w="2268" w:type="dxa"/>
          </w:tcPr>
          <w:p w:rsidR="00BD1654" w:rsidRPr="00BD1654" w:rsidRDefault="00BD1654" w:rsidP="00DD37FD">
            <w:pPr>
              <w:pStyle w:val="af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654">
              <w:rPr>
                <w:rFonts w:ascii="Times New Roman" w:hAnsi="Times New Roman" w:cs="Times New Roman"/>
                <w:sz w:val="18"/>
                <w:szCs w:val="18"/>
              </w:rPr>
              <w:t>38 (3) Правил технологического</w:t>
            </w:r>
          </w:p>
        </w:tc>
      </w:tr>
    </w:tbl>
    <w:p w:rsidR="00BD1654" w:rsidRPr="008A474D" w:rsidRDefault="00BD1654" w:rsidP="00BD1654">
      <w:pPr>
        <w:pStyle w:val="21"/>
        <w:shd w:val="clear" w:color="auto" w:fill="auto"/>
        <w:spacing w:before="0" w:after="74" w:line="230" w:lineRule="exact"/>
        <w:jc w:val="left"/>
        <w:rPr>
          <w:b/>
        </w:rPr>
      </w:pPr>
    </w:p>
    <w:p w:rsidR="002D2280" w:rsidRPr="002D2280" w:rsidRDefault="002D2280" w:rsidP="002D2280">
      <w:pPr>
        <w:spacing w:before="65" w:line="278" w:lineRule="exact"/>
        <w:ind w:left="100" w:right="106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2D2280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Контактная информация для направления обращений: </w:t>
      </w:r>
    </w:p>
    <w:p w:rsidR="002D2280" w:rsidRPr="002D2280" w:rsidRDefault="002D2280" w:rsidP="002D2280">
      <w:pPr>
        <w:spacing w:before="65" w:line="278" w:lineRule="exact"/>
        <w:ind w:left="100" w:right="-14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2D2280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- </w:t>
      </w:r>
      <w:r w:rsidRPr="002D2280">
        <w:rPr>
          <w:rFonts w:ascii="Times New Roman" w:eastAsia="Times New Roman" w:hAnsi="Times New Roman" w:cs="Times New Roman"/>
          <w:bCs/>
          <w:sz w:val="22"/>
          <w:szCs w:val="22"/>
        </w:rPr>
        <w:t xml:space="preserve">Центр обслуживания клиентов по адресу: </w:t>
      </w:r>
      <w:r w:rsidR="00D90F13">
        <w:rPr>
          <w:rFonts w:ascii="Times New Roman" w:eastAsia="Times New Roman" w:hAnsi="Times New Roman" w:cs="Times New Roman"/>
          <w:bCs/>
          <w:sz w:val="22"/>
          <w:szCs w:val="22"/>
        </w:rPr>
        <w:t>Липецкая область, г. Липецк, ул. Генерала Меркулова 31А, +7 (4742) 55-50-30</w:t>
      </w:r>
    </w:p>
    <w:p w:rsidR="002D2280" w:rsidRPr="002D2280" w:rsidRDefault="002D2280" w:rsidP="002D2280">
      <w:pPr>
        <w:spacing w:before="65" w:line="278" w:lineRule="exact"/>
        <w:ind w:left="100" w:right="106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2D2280">
        <w:rPr>
          <w:rFonts w:ascii="Times New Roman" w:eastAsia="Times New Roman" w:hAnsi="Times New Roman" w:cs="Times New Roman"/>
          <w:bCs/>
          <w:sz w:val="22"/>
          <w:szCs w:val="22"/>
        </w:rPr>
        <w:t xml:space="preserve">- Портал потребителя </w:t>
      </w:r>
    </w:p>
    <w:p w:rsidR="00004D9A" w:rsidRDefault="00004D9A" w:rsidP="002D2280">
      <w:pPr>
        <w:pStyle w:val="21"/>
        <w:shd w:val="clear" w:color="auto" w:fill="auto"/>
        <w:spacing w:before="69" w:after="0" w:line="274" w:lineRule="exact"/>
        <w:ind w:left="120" w:right="2120"/>
        <w:jc w:val="left"/>
      </w:pPr>
    </w:p>
    <w:sectPr w:rsidR="00004D9A" w:rsidSect="00EB2914">
      <w:footnotePr>
        <w:numRestart w:val="eachPage"/>
      </w:footnotePr>
      <w:type w:val="continuous"/>
      <w:pgSz w:w="16838" w:h="11909" w:orient="landscape"/>
      <w:pgMar w:top="930" w:right="2521" w:bottom="930" w:left="133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4F2" w:rsidRDefault="00C164F2">
      <w:r>
        <w:separator/>
      </w:r>
    </w:p>
  </w:endnote>
  <w:endnote w:type="continuationSeparator" w:id="0">
    <w:p w:rsidR="00C164F2" w:rsidRDefault="00C16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4F2" w:rsidRDefault="00C164F2">
      <w:r>
        <w:separator/>
      </w:r>
    </w:p>
  </w:footnote>
  <w:footnote w:type="continuationSeparator" w:id="0">
    <w:p w:rsidR="00C164F2" w:rsidRDefault="00C16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4D9A"/>
    <w:rsid w:val="00004D9A"/>
    <w:rsid w:val="00007604"/>
    <w:rsid w:val="000662F1"/>
    <w:rsid w:val="00091670"/>
    <w:rsid w:val="000E0981"/>
    <w:rsid w:val="001E01BF"/>
    <w:rsid w:val="001E0777"/>
    <w:rsid w:val="00204481"/>
    <w:rsid w:val="00281DE7"/>
    <w:rsid w:val="002971CF"/>
    <w:rsid w:val="002D2280"/>
    <w:rsid w:val="002F35E0"/>
    <w:rsid w:val="00325FE4"/>
    <w:rsid w:val="00451411"/>
    <w:rsid w:val="004D7C3D"/>
    <w:rsid w:val="004F184E"/>
    <w:rsid w:val="00517315"/>
    <w:rsid w:val="00555BDE"/>
    <w:rsid w:val="0057136A"/>
    <w:rsid w:val="005C3C76"/>
    <w:rsid w:val="00682AA5"/>
    <w:rsid w:val="006F0E97"/>
    <w:rsid w:val="006F71BA"/>
    <w:rsid w:val="007A3333"/>
    <w:rsid w:val="007F2A56"/>
    <w:rsid w:val="00851E02"/>
    <w:rsid w:val="00897FAB"/>
    <w:rsid w:val="008A474D"/>
    <w:rsid w:val="00962B0C"/>
    <w:rsid w:val="009F6EC5"/>
    <w:rsid w:val="00A730FC"/>
    <w:rsid w:val="00B81930"/>
    <w:rsid w:val="00BD1654"/>
    <w:rsid w:val="00C164F2"/>
    <w:rsid w:val="00C61580"/>
    <w:rsid w:val="00D90F13"/>
    <w:rsid w:val="00E62479"/>
    <w:rsid w:val="00E90643"/>
    <w:rsid w:val="00EB2914"/>
    <w:rsid w:val="00EE457A"/>
    <w:rsid w:val="00F8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FA539"/>
  <w15:docId w15:val="{D30027F4-E8FB-4AC5-81BF-155357617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10pt">
    <w:name w:val="Основной текст + 10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5pt">
    <w:name w:val="Основной текст + 10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840" w:line="230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2"/>
    <w:basedOn w:val="a"/>
    <w:link w:val="a6"/>
    <w:pPr>
      <w:shd w:val="clear" w:color="auto" w:fill="FFFFFF"/>
      <w:spacing w:before="840" w:after="18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styleId="a7">
    <w:name w:val="annotation reference"/>
    <w:basedOn w:val="a0"/>
    <w:uiPriority w:val="99"/>
    <w:semiHidden/>
    <w:unhideWhenUsed/>
    <w:rsid w:val="00EB291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B291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B2914"/>
    <w:rPr>
      <w:color w:val="000000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B291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B2914"/>
    <w:rPr>
      <w:b/>
      <w:bCs/>
      <w:color w:val="000000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B291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B2914"/>
    <w:rPr>
      <w:rFonts w:ascii="Tahoma" w:hAnsi="Tahoma" w:cs="Tahoma"/>
      <w:color w:val="000000"/>
      <w:sz w:val="16"/>
      <w:szCs w:val="16"/>
    </w:rPr>
  </w:style>
  <w:style w:type="paragraph" w:styleId="ae">
    <w:name w:val="Revision"/>
    <w:hidden/>
    <w:uiPriority w:val="99"/>
    <w:semiHidden/>
    <w:rsid w:val="00517315"/>
    <w:pPr>
      <w:widowControl/>
    </w:pPr>
    <w:rPr>
      <w:color w:val="000000"/>
    </w:rPr>
  </w:style>
  <w:style w:type="paragraph" w:customStyle="1" w:styleId="ConsPlusNormal">
    <w:name w:val="ConsPlusNormal"/>
    <w:rsid w:val="007F2A56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customStyle="1" w:styleId="ConsPlusNonformat">
    <w:name w:val="ConsPlusNonformat"/>
    <w:rsid w:val="002F35E0"/>
    <w:pPr>
      <w:autoSpaceDE w:val="0"/>
      <w:autoSpaceDN w:val="0"/>
    </w:pPr>
    <w:rPr>
      <w:rFonts w:eastAsia="Times New Roman"/>
      <w:sz w:val="20"/>
      <w:szCs w:val="20"/>
      <w:lang w:bidi="ar-SA"/>
    </w:rPr>
  </w:style>
  <w:style w:type="table" w:styleId="af">
    <w:name w:val="Table Grid"/>
    <w:basedOn w:val="a1"/>
    <w:uiPriority w:val="59"/>
    <w:rsid w:val="00BD1654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D1654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3DC88-6C1B-4974-8C4D-D5C81798A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1008</Words>
  <Characters>5747</Characters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pril_5._ПАСПОРТ_УСЛУГИ_Перераспределение.docx</vt:lpstr>
    </vt:vector>
  </TitlesOfParts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2018-10-30T12:34:00Z</dcterms:created>
  <dcterms:modified xsi:type="dcterms:W3CDTF">2024-10-29T09:15:00Z</dcterms:modified>
</cp:coreProperties>
</file>