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98"/>
        <w:gridCol w:w="5100"/>
      </w:tblGrid>
      <w:tr w:rsidR="009F7995" w:rsidRPr="00D007DA" w:rsidTr="004C1AAC">
        <w:trPr>
          <w:trHeight w:val="1408"/>
        </w:trPr>
        <w:tc>
          <w:tcPr>
            <w:tcW w:w="5207" w:type="dxa"/>
          </w:tcPr>
          <w:p w:rsidR="009F7995" w:rsidRPr="004E79DA" w:rsidRDefault="009F7995" w:rsidP="009F7995">
            <w:pPr>
              <w:pStyle w:val="af7"/>
              <w:jc w:val="center"/>
              <w:rPr>
                <w:rStyle w:val="51"/>
                <w:rFonts w:eastAsia="Courier New"/>
                <w:b/>
                <w:bCs/>
                <w:color w:val="FFFFFF" w:themeColor="background1"/>
                <w:sz w:val="24"/>
                <w:szCs w:val="24"/>
              </w:rPr>
            </w:pPr>
            <w:r w:rsidRPr="004E79DA">
              <w:rPr>
                <w:rStyle w:val="51"/>
                <w:rFonts w:eastAsia="Courier New"/>
                <w:b/>
                <w:bCs/>
                <w:color w:val="FFFFFF" w:themeColor="background1"/>
                <w:sz w:val="24"/>
                <w:szCs w:val="24"/>
              </w:rPr>
              <w:t>ПРЕДСТАВЛЯЮ НА УТВЕРЖДЕНИЕ</w:t>
            </w:r>
          </w:p>
          <w:p w:rsidR="009F7995" w:rsidRPr="004E79DA" w:rsidRDefault="009F7995" w:rsidP="009F7995">
            <w:pPr>
              <w:pStyle w:val="af7"/>
              <w:jc w:val="center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  <w:r w:rsidRPr="004E79DA"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  <w:t>Начальник департамента</w:t>
            </w:r>
          </w:p>
          <w:p w:rsidR="009F7995" w:rsidRPr="004E79DA" w:rsidRDefault="009F7995" w:rsidP="009F7995">
            <w:pPr>
              <w:pStyle w:val="af7"/>
              <w:jc w:val="center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  <w:r w:rsidRPr="004E79DA"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  <w:t>транспорта электроэнергии</w:t>
            </w:r>
          </w:p>
          <w:p w:rsidR="009F7995" w:rsidRPr="004E79DA" w:rsidRDefault="009F7995" w:rsidP="009F7995">
            <w:pPr>
              <w:pStyle w:val="af7"/>
              <w:jc w:val="center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</w:p>
          <w:p w:rsidR="009F7995" w:rsidRPr="004E79DA" w:rsidRDefault="009F7995" w:rsidP="009F7995">
            <w:pPr>
              <w:pStyle w:val="af7"/>
              <w:jc w:val="center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  <w:r w:rsidRPr="004E79DA"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  <w:t>______________С.В. Куропаткин</w:t>
            </w:r>
          </w:p>
          <w:p w:rsidR="009F7995" w:rsidRPr="004E79DA" w:rsidRDefault="009F7995" w:rsidP="009F7995">
            <w:pPr>
              <w:pStyle w:val="af7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</w:p>
          <w:p w:rsidR="009F7995" w:rsidRPr="004E79DA" w:rsidRDefault="009F7995" w:rsidP="009F7995">
            <w:pPr>
              <w:pStyle w:val="af7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  <w:r w:rsidRPr="004E79DA"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  <w:t>«____» февраля 2015 г.</w:t>
            </w:r>
            <w:r w:rsidR="0004005B"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  <w:t xml:space="preserve">                                                          </w:t>
            </w:r>
          </w:p>
          <w:p w:rsidR="009F7995" w:rsidRPr="004E79DA" w:rsidRDefault="009F7995" w:rsidP="009F7995">
            <w:pPr>
              <w:pStyle w:val="af7"/>
              <w:rPr>
                <w:rStyle w:val="51"/>
                <w:rFonts w:eastAsia="Courier New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208" w:type="dxa"/>
          </w:tcPr>
          <w:p w:rsidR="00B2489E" w:rsidRPr="0004005B" w:rsidRDefault="00B2489E" w:rsidP="009F7995">
            <w:pPr>
              <w:pStyle w:val="af7"/>
              <w:jc w:val="center"/>
              <w:rPr>
                <w:rStyle w:val="51"/>
                <w:rFonts w:eastAsia="Courier New"/>
                <w:b/>
                <w:bCs/>
                <w:sz w:val="24"/>
                <w:szCs w:val="24"/>
              </w:rPr>
            </w:pPr>
          </w:p>
          <w:p w:rsidR="009F7995" w:rsidRPr="009F7995" w:rsidRDefault="009F7995" w:rsidP="009F7995">
            <w:pPr>
              <w:pStyle w:val="af7"/>
              <w:jc w:val="center"/>
              <w:rPr>
                <w:rStyle w:val="51"/>
                <w:rFonts w:eastAsia="Courier New"/>
                <w:b/>
                <w:bCs/>
                <w:sz w:val="24"/>
                <w:szCs w:val="24"/>
              </w:rPr>
            </w:pPr>
            <w:r w:rsidRPr="009F7995">
              <w:rPr>
                <w:rStyle w:val="51"/>
                <w:rFonts w:eastAsia="Courier New"/>
                <w:b/>
                <w:bCs/>
                <w:sz w:val="24"/>
                <w:szCs w:val="24"/>
              </w:rPr>
              <w:t>УТВЕРЖДАЮ</w:t>
            </w:r>
          </w:p>
          <w:p w:rsidR="009F7995" w:rsidRPr="009F7995" w:rsidRDefault="0004005B" w:rsidP="009F7995">
            <w:pPr>
              <w:pStyle w:val="af7"/>
              <w:jc w:val="center"/>
              <w:rPr>
                <w:rStyle w:val="51"/>
                <w:rFonts w:eastAsia="Courier New"/>
                <w:sz w:val="24"/>
                <w:szCs w:val="24"/>
              </w:rPr>
            </w:pPr>
            <w:r>
              <w:rPr>
                <w:rStyle w:val="51"/>
                <w:rFonts w:eastAsia="Courier New"/>
                <w:sz w:val="24"/>
                <w:szCs w:val="24"/>
              </w:rPr>
              <w:t>Г</w:t>
            </w:r>
            <w:r>
              <w:rPr>
                <w:rStyle w:val="51"/>
                <w:rFonts w:eastAsia="Courier New"/>
              </w:rPr>
              <w:t>лавный энергетик</w:t>
            </w:r>
          </w:p>
          <w:p w:rsidR="009F7995" w:rsidRPr="009F7995" w:rsidRDefault="009F7995" w:rsidP="009F7995">
            <w:pPr>
              <w:pStyle w:val="af7"/>
              <w:jc w:val="center"/>
              <w:rPr>
                <w:rStyle w:val="51"/>
                <w:rFonts w:eastAsia="Courier New"/>
                <w:sz w:val="24"/>
                <w:szCs w:val="24"/>
              </w:rPr>
            </w:pPr>
          </w:p>
          <w:p w:rsidR="009F7995" w:rsidRPr="009F7995" w:rsidRDefault="009F7995" w:rsidP="009F7995">
            <w:pPr>
              <w:pStyle w:val="af7"/>
              <w:jc w:val="center"/>
              <w:rPr>
                <w:rStyle w:val="51"/>
                <w:rFonts w:eastAsia="Courier New"/>
                <w:sz w:val="24"/>
                <w:szCs w:val="24"/>
              </w:rPr>
            </w:pPr>
            <w:r w:rsidRPr="009F7995">
              <w:rPr>
                <w:rStyle w:val="51"/>
                <w:rFonts w:eastAsia="Courier New"/>
                <w:sz w:val="24"/>
                <w:szCs w:val="24"/>
              </w:rPr>
              <w:t>______________</w:t>
            </w:r>
            <w:r w:rsidR="0004005B">
              <w:rPr>
                <w:rStyle w:val="51"/>
                <w:rFonts w:eastAsia="Courier New"/>
                <w:sz w:val="24"/>
                <w:szCs w:val="24"/>
              </w:rPr>
              <w:t>В.А. Агапов</w:t>
            </w:r>
          </w:p>
          <w:p w:rsidR="009F7995" w:rsidRPr="009F7995" w:rsidRDefault="009F7995" w:rsidP="009F7995">
            <w:pPr>
              <w:pStyle w:val="af7"/>
              <w:rPr>
                <w:rStyle w:val="51"/>
                <w:rFonts w:eastAsia="Courier New"/>
                <w:sz w:val="24"/>
                <w:szCs w:val="24"/>
              </w:rPr>
            </w:pPr>
          </w:p>
          <w:p w:rsidR="009F7995" w:rsidRPr="009F7995" w:rsidRDefault="0004005B" w:rsidP="009F7995">
            <w:pPr>
              <w:pStyle w:val="af7"/>
              <w:rPr>
                <w:rStyle w:val="51"/>
                <w:rFonts w:eastAsia="Courier New"/>
                <w:sz w:val="24"/>
                <w:szCs w:val="24"/>
              </w:rPr>
            </w:pPr>
            <w:r>
              <w:rPr>
                <w:rStyle w:val="51"/>
                <w:rFonts w:eastAsia="Courier New"/>
                <w:sz w:val="24"/>
                <w:szCs w:val="24"/>
              </w:rPr>
              <w:t xml:space="preserve">                 </w:t>
            </w:r>
            <w:r w:rsidR="009F7995" w:rsidRPr="009F7995">
              <w:rPr>
                <w:rStyle w:val="51"/>
                <w:rFonts w:eastAsia="Courier New"/>
                <w:sz w:val="24"/>
                <w:szCs w:val="24"/>
              </w:rPr>
              <w:t>«____» февраля 201</w:t>
            </w:r>
            <w:r>
              <w:rPr>
                <w:rStyle w:val="51"/>
                <w:rFonts w:eastAsia="Courier New"/>
                <w:sz w:val="24"/>
                <w:szCs w:val="24"/>
              </w:rPr>
              <w:t>8</w:t>
            </w:r>
            <w:r w:rsidR="009F7995" w:rsidRPr="009F7995">
              <w:rPr>
                <w:rStyle w:val="51"/>
                <w:rFonts w:eastAsia="Courier New"/>
                <w:sz w:val="24"/>
                <w:szCs w:val="24"/>
              </w:rPr>
              <w:t xml:space="preserve"> г.</w:t>
            </w:r>
          </w:p>
          <w:p w:rsidR="009F7995" w:rsidRPr="009F7995" w:rsidRDefault="009F7995" w:rsidP="009F7995">
            <w:pPr>
              <w:pStyle w:val="af7"/>
              <w:rPr>
                <w:rStyle w:val="51"/>
                <w:rFonts w:eastAsia="Courier New"/>
                <w:sz w:val="24"/>
                <w:szCs w:val="24"/>
              </w:rPr>
            </w:pPr>
          </w:p>
        </w:tc>
      </w:tr>
    </w:tbl>
    <w:p w:rsidR="003C36AF" w:rsidRPr="00DC474E" w:rsidRDefault="003C36AF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9E9" w:rsidRPr="0004005B" w:rsidRDefault="00C919E9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6AF" w:rsidRDefault="003C36AF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6AF" w:rsidRDefault="00B74EE6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A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C36AF" w:rsidRDefault="00B74EE6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AF">
        <w:rPr>
          <w:rFonts w:ascii="Times New Roman" w:hAnsi="Times New Roman" w:cs="Times New Roman"/>
          <w:b/>
          <w:sz w:val="28"/>
          <w:szCs w:val="28"/>
        </w:rPr>
        <w:t>О</w:t>
      </w:r>
      <w:r w:rsidR="00E634D5">
        <w:rPr>
          <w:rFonts w:ascii="Times New Roman" w:hAnsi="Times New Roman" w:cs="Times New Roman"/>
          <w:b/>
          <w:sz w:val="28"/>
          <w:szCs w:val="28"/>
        </w:rPr>
        <w:t>О</w:t>
      </w:r>
      <w:r w:rsidRPr="003C36AF">
        <w:rPr>
          <w:rFonts w:ascii="Times New Roman" w:hAnsi="Times New Roman" w:cs="Times New Roman"/>
          <w:b/>
          <w:sz w:val="28"/>
          <w:szCs w:val="28"/>
        </w:rPr>
        <w:t>О «</w:t>
      </w:r>
      <w:r w:rsidR="00E634D5">
        <w:rPr>
          <w:rFonts w:ascii="Times New Roman" w:hAnsi="Times New Roman" w:cs="Times New Roman"/>
          <w:b/>
          <w:sz w:val="28"/>
          <w:szCs w:val="28"/>
        </w:rPr>
        <w:t>ПСК</w:t>
      </w:r>
      <w:r w:rsidRPr="003C36AF">
        <w:rPr>
          <w:rFonts w:ascii="Times New Roman" w:hAnsi="Times New Roman" w:cs="Times New Roman"/>
          <w:b/>
          <w:sz w:val="28"/>
          <w:szCs w:val="28"/>
        </w:rPr>
        <w:t>»</w:t>
      </w:r>
      <w:r w:rsidR="003C3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6AF">
        <w:rPr>
          <w:rFonts w:ascii="Times New Roman" w:hAnsi="Times New Roman" w:cs="Times New Roman"/>
          <w:b/>
          <w:sz w:val="28"/>
          <w:szCs w:val="28"/>
        </w:rPr>
        <w:t>О ЕДИНОЙ ТЕХНИЧЕСКОЙ ПОЛИТИКЕ</w:t>
      </w:r>
    </w:p>
    <w:p w:rsidR="009739B1" w:rsidRPr="003C36AF" w:rsidRDefault="00B74EE6" w:rsidP="003E57F9">
      <w:pPr>
        <w:pStyle w:val="af7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AF">
        <w:rPr>
          <w:rFonts w:ascii="Times New Roman" w:hAnsi="Times New Roman" w:cs="Times New Roman"/>
          <w:b/>
          <w:sz w:val="28"/>
          <w:szCs w:val="28"/>
        </w:rPr>
        <w:t>В ЭЛЕКТРОСЕТЕВОМ КОМПЛЕКСЕ</w:t>
      </w:r>
      <w:bookmarkStart w:id="0" w:name="bookmark72"/>
    </w:p>
    <w:p w:rsidR="009739B1" w:rsidRPr="003C36AF" w:rsidRDefault="009739B1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8"/>
          <w:szCs w:val="28"/>
        </w:rPr>
      </w:pPr>
    </w:p>
    <w:p w:rsidR="006E67A0" w:rsidRPr="003C36AF" w:rsidRDefault="006E67A0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22B8" w:rsidRPr="003C36AF" w:rsidRDefault="00B74EE6" w:rsidP="0058682B">
      <w:pPr>
        <w:pStyle w:val="af7"/>
        <w:numPr>
          <w:ilvl w:val="0"/>
          <w:numId w:val="1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AF">
        <w:rPr>
          <w:rFonts w:ascii="Times New Roman" w:hAnsi="Times New Roman" w:cs="Times New Roman"/>
          <w:b/>
          <w:sz w:val="28"/>
          <w:szCs w:val="28"/>
        </w:rPr>
        <w:t>Система учета электрической энергии</w:t>
      </w:r>
      <w:bookmarkEnd w:id="0"/>
    </w:p>
    <w:p w:rsidR="009739B1" w:rsidRPr="007E4AE4" w:rsidRDefault="009739B1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  <w:r w:rsidRPr="007E4AE4">
        <w:rPr>
          <w:rStyle w:val="51"/>
          <w:rFonts w:eastAsia="Courier New"/>
          <w:sz w:val="24"/>
          <w:szCs w:val="24"/>
        </w:rPr>
        <w:t>Целью Единой технической политики в области автоматизации учета электроэнергии (мощности) является формирование единых подходов к созданию систем коммерческого (контрольного) и технического учета электроэнергии оптового рынка в электросетевом комплексе (автоматизированная информационно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 xml:space="preserve">измерительная система коммерческого учета электроэнергии </w:t>
      </w:r>
      <w:r w:rsidR="003131C5">
        <w:rPr>
          <w:rStyle w:val="51"/>
          <w:rFonts w:eastAsia="Courier New"/>
          <w:sz w:val="24"/>
          <w:szCs w:val="24"/>
        </w:rPr>
        <w:t>(</w:t>
      </w:r>
      <w:r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3131C5">
        <w:rPr>
          <w:rStyle w:val="51"/>
          <w:rFonts w:eastAsia="Courier New"/>
          <w:sz w:val="24"/>
          <w:szCs w:val="24"/>
        </w:rPr>
        <w:t xml:space="preserve">по тексту – </w:t>
      </w:r>
      <w:r w:rsidRPr="007E4AE4">
        <w:rPr>
          <w:rStyle w:val="51"/>
          <w:rFonts w:eastAsia="Courier New"/>
          <w:sz w:val="24"/>
          <w:szCs w:val="24"/>
        </w:rPr>
        <w:t>АИИС КУЭ) и созданию систем коммерческого (контрольного) и технического учета электроэнергии с автоматизированным сбором данных розничного рынка в распределительном электросетевом комплексе.</w:t>
      </w:r>
    </w:p>
    <w:p w:rsidR="009739B1" w:rsidRPr="007E4AE4" w:rsidRDefault="009739B1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b/>
          <w:sz w:val="24"/>
          <w:szCs w:val="24"/>
        </w:rPr>
        <w:t>Системы учета электроэнергии предназначены для: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Своевременного и надежного обеспечения всех участников рынка электроэнергии достоверной и легитимной информацией о фактическом движении товарной проду</w:t>
      </w:r>
      <w:r w:rsidRPr="007E4AE4">
        <w:rPr>
          <w:rStyle w:val="64"/>
          <w:rFonts w:eastAsia="Courier New"/>
          <w:sz w:val="24"/>
          <w:szCs w:val="24"/>
          <w:u w:val="none"/>
        </w:rPr>
        <w:t>кци</w:t>
      </w:r>
      <w:r w:rsidRPr="007E4AE4">
        <w:rPr>
          <w:rStyle w:val="51"/>
          <w:rFonts w:eastAsia="Courier New"/>
          <w:sz w:val="24"/>
          <w:szCs w:val="24"/>
        </w:rPr>
        <w:t>и (электроэнергии и мощности), необходимой для функционирования оптового и розничного рынков электроэнергии.</w:t>
      </w:r>
    </w:p>
    <w:p w:rsidR="0001631D" w:rsidRDefault="0001631D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Получение технико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экономического эффекта за счет:</w:t>
      </w:r>
    </w:p>
    <w:p w:rsidR="00C122B8" w:rsidRPr="007E4AE4" w:rsidRDefault="00B74EE6" w:rsidP="0058682B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сбора достоверных данных для формирования технико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экономических показателей;</w:t>
      </w:r>
    </w:p>
    <w:p w:rsidR="00C122B8" w:rsidRPr="007E4AE4" w:rsidRDefault="00B74EE6" w:rsidP="0058682B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ведения баланса по энергообъектам;</w:t>
      </w:r>
    </w:p>
    <w:p w:rsidR="00C122B8" w:rsidRPr="007E4AE4" w:rsidRDefault="00B74EE6" w:rsidP="0058682B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снижения потерь электроэнергии в электросетевом комплексе;</w:t>
      </w:r>
    </w:p>
    <w:p w:rsidR="00C122B8" w:rsidRPr="007E4AE4" w:rsidRDefault="00B74EE6" w:rsidP="0058682B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контроля выполнения условий договоров об осуществлении технологического присоединения к электрическим сетям и оказания услуг по передаче электрической энергии.</w:t>
      </w:r>
    </w:p>
    <w:p w:rsidR="0001631D" w:rsidRDefault="0001631D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Для достижения поставленных целей должны быть решены следующие задачи:</w:t>
      </w:r>
    </w:p>
    <w:p w:rsidR="00C122B8" w:rsidRPr="007E4AE4" w:rsidRDefault="00B74EE6" w:rsidP="0058682B">
      <w:pPr>
        <w:pStyle w:val="af7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организация коммерческого (контрольного) учета электрической энергии;</w:t>
      </w:r>
    </w:p>
    <w:p w:rsidR="00C122B8" w:rsidRPr="007E4AE4" w:rsidRDefault="00B74EE6" w:rsidP="0058682B">
      <w:pPr>
        <w:pStyle w:val="af7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организация технического учета электрической энергии;</w:t>
      </w:r>
    </w:p>
    <w:p w:rsidR="00C122B8" w:rsidRPr="007E4AE4" w:rsidRDefault="00B74EE6" w:rsidP="0058682B">
      <w:pPr>
        <w:pStyle w:val="af7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автоматизация коммерческого и технического учета электроэнергии.</w:t>
      </w:r>
    </w:p>
    <w:p w:rsidR="0001631D" w:rsidRDefault="0001631D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Системы учета электрической энергии должны включать в себя или</w:t>
      </w:r>
      <w:r w:rsidR="009739B1" w:rsidRPr="007E4AE4">
        <w:rPr>
          <w:rStyle w:val="51"/>
          <w:rFonts w:eastAsia="Courier New"/>
          <w:sz w:val="24"/>
          <w:szCs w:val="24"/>
        </w:rPr>
        <w:t xml:space="preserve"> </w:t>
      </w:r>
      <w:r w:rsidRPr="007E4AE4">
        <w:rPr>
          <w:rStyle w:val="51"/>
          <w:rFonts w:eastAsia="Courier New"/>
          <w:sz w:val="24"/>
          <w:szCs w:val="24"/>
        </w:rPr>
        <w:t>обеспечивать интеграцию со средствами защиты от несанкционированного доступа, в том числе идентификацию, аутентификацию и авторизацию персонала при доступе к системе, мониторинга действий персонала, средствами антивирусной защиты и средствами контроля целостности программно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аппаратной части.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Системы учета электроэнергии должны создаваться как территориально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распределенные многоуровневые измерительно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информационные системы с централизованным управлением и единым центром сбора, обработки, хранения и передачи данных измерений электроэнергии с распределенной функцией выполнения измерений электроэнергии.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Системы учета должны охватывать все точки коммерческого (расчетного и контрольного) и </w:t>
      </w:r>
      <w:r w:rsidRPr="007E4AE4">
        <w:rPr>
          <w:rStyle w:val="51"/>
          <w:rFonts w:eastAsia="Courier New"/>
          <w:sz w:val="24"/>
          <w:szCs w:val="24"/>
        </w:rPr>
        <w:lastRenderedPageBreak/>
        <w:t>технического учета активной и реактивной электроэнергии и мощности с целью получения полного баланса электроэнергии на объекте, включая балансы по уровням напряжения, секциям шин и собственным нуждам.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Метрологическое обеспечение средств измерений, являющихся компонентами измерительных каналов АИИС и АИИС КУЭ, субъектов</w:t>
      </w:r>
      <w:r w:rsidRPr="007E4AE4">
        <w:rPr>
          <w:rStyle w:val="51"/>
          <w:rFonts w:eastAsia="Courier New"/>
          <w:sz w:val="24"/>
          <w:szCs w:val="24"/>
        </w:rPr>
        <w:t xml:space="preserve"> оптового рынка электроэнергии и систем учета электроэнергии с автоматизированным сбором данных субъектов розничного рынка, в целом должно соответствовать положениям раздела «Метрологическое обеспечение».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proofErr w:type="spellStart"/>
      <w:r w:rsidRPr="007E4AE4">
        <w:rPr>
          <w:rStyle w:val="51"/>
          <w:rFonts w:eastAsia="Courier New"/>
          <w:sz w:val="24"/>
          <w:szCs w:val="24"/>
        </w:rPr>
        <w:t>Межповерочный</w:t>
      </w:r>
      <w:proofErr w:type="spellEnd"/>
      <w:r w:rsidRPr="007E4AE4">
        <w:rPr>
          <w:rStyle w:val="51"/>
          <w:rFonts w:eastAsia="Courier New"/>
          <w:sz w:val="24"/>
          <w:szCs w:val="24"/>
        </w:rPr>
        <w:t xml:space="preserve"> интервал приборов учета электрической энергии должен быть не менее 10 лет.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АИИС КУЭ на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присоединениях, входящих в состав сечений поставки на оптовом р</w:t>
      </w:r>
      <w:r w:rsidR="003131C5">
        <w:rPr>
          <w:rStyle w:val="51"/>
          <w:rFonts w:eastAsia="Courier New"/>
          <w:color w:val="000000" w:themeColor="text1"/>
          <w:sz w:val="24"/>
          <w:szCs w:val="24"/>
        </w:rPr>
        <w:t xml:space="preserve">ынке электроэнергии и мощности </w:t>
      </w:r>
      <w:r w:rsidR="003131C5">
        <w:rPr>
          <w:rStyle w:val="51"/>
          <w:rFonts w:eastAsia="Courier New"/>
          <w:sz w:val="24"/>
          <w:szCs w:val="24"/>
        </w:rPr>
        <w:t>(</w:t>
      </w:r>
      <w:r w:rsidR="003131C5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3131C5">
        <w:rPr>
          <w:rStyle w:val="51"/>
          <w:rFonts w:eastAsia="Courier New"/>
          <w:sz w:val="24"/>
          <w:szCs w:val="24"/>
        </w:rPr>
        <w:t xml:space="preserve">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ОРЭМ) должна</w:t>
      </w:r>
      <w:r w:rsidRPr="007E4AE4">
        <w:rPr>
          <w:rStyle w:val="51"/>
          <w:rFonts w:eastAsia="Courier New"/>
          <w:sz w:val="24"/>
          <w:szCs w:val="24"/>
        </w:rPr>
        <w:t xml:space="preserve"> соответствовать действующим требованиям к АИИС КУЭ ОРЭМ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предъявляемым Н</w:t>
      </w:r>
      <w:r w:rsidR="005E30D3" w:rsidRPr="0020278F">
        <w:rPr>
          <w:rStyle w:val="51"/>
          <w:rFonts w:eastAsia="Courier New"/>
          <w:color w:val="000000" w:themeColor="text1"/>
          <w:sz w:val="24"/>
          <w:szCs w:val="24"/>
        </w:rPr>
        <w:t>П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«Совет рынка» и другим 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>нормативно</w:t>
      </w:r>
      <w:r w:rsidR="0001631D">
        <w:rPr>
          <w:rStyle w:val="51"/>
          <w:rFonts w:eastAsia="Courier New"/>
          <w:color w:val="000000" w:themeColor="text1"/>
          <w:sz w:val="24"/>
          <w:szCs w:val="24"/>
        </w:rPr>
        <w:t>-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техническим документам (далее по тексту –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НТД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и 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нормативным правовым актам (далее по тексту –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НПА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, действующим в сфере регулирования коммерческого</w:t>
      </w:r>
      <w:r w:rsidRPr="007E4AE4">
        <w:rPr>
          <w:rStyle w:val="51"/>
          <w:rFonts w:eastAsia="Courier New"/>
          <w:sz w:val="24"/>
          <w:szCs w:val="24"/>
        </w:rPr>
        <w:t xml:space="preserve"> учета на ОРЭМ.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Системы учета электроэнергии в распределительном электросетевом комплексе (розничный рынок) должны соответствовать правилам функционирования розничных рынков электрической энергии, требованиям НТД и НПА.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9A0596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9A0596">
        <w:rPr>
          <w:rStyle w:val="51"/>
          <w:rFonts w:eastAsia="Courier New"/>
          <w:b/>
          <w:sz w:val="24"/>
          <w:szCs w:val="24"/>
        </w:rPr>
        <w:t>Основные принципы организации учета электроэнергии в электросетевом комплексе: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Система учета электроэнергии представляет собой совокупность </w:t>
      </w:r>
      <w:r w:rsidR="00E63760">
        <w:rPr>
          <w:rStyle w:val="51"/>
          <w:rFonts w:eastAsia="Courier New"/>
          <w:sz w:val="24"/>
          <w:szCs w:val="24"/>
        </w:rPr>
        <w:t>–</w:t>
      </w:r>
      <w:r w:rsidRPr="007E4AE4">
        <w:rPr>
          <w:rStyle w:val="51"/>
          <w:rFonts w:eastAsia="Courier New"/>
          <w:sz w:val="24"/>
          <w:szCs w:val="24"/>
        </w:rPr>
        <w:t xml:space="preserve"> измерительно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информационных комплексов (</w:t>
      </w:r>
      <w:r w:rsidR="003131C5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3131C5">
        <w:rPr>
          <w:rStyle w:val="51"/>
          <w:rFonts w:eastAsia="Courier New"/>
          <w:sz w:val="24"/>
          <w:szCs w:val="24"/>
        </w:rPr>
        <w:t xml:space="preserve">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ИИК</w:t>
      </w:r>
      <w:r w:rsidRPr="007E4AE4">
        <w:rPr>
          <w:rStyle w:val="51"/>
          <w:rFonts w:eastAsia="Courier New"/>
          <w:sz w:val="24"/>
          <w:szCs w:val="24"/>
        </w:rPr>
        <w:t>) учета электроэнергии, состоящих из приборов учета электрической энергии, измерительных трансформаторов тока и напряжения, а также вторичных измерительных цепей. Кроме того, в состав измерительно</w:t>
      </w:r>
      <w:r w:rsidR="0001631D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 xml:space="preserve">информационного комплекса учета электрической энергии в качестве компонентов могут входить нагрузочные устройства во вторичных цепях трансформаторов тока и напряжения. При организации автоматизированного сбора данных с ИИК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могут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применяться информационно</w:t>
      </w:r>
      <w:r w:rsidR="0001631D">
        <w:rPr>
          <w:rStyle w:val="51"/>
          <w:rFonts w:eastAsia="Courier New"/>
          <w:color w:val="000000" w:themeColor="text1"/>
          <w:sz w:val="24"/>
          <w:szCs w:val="24"/>
        </w:rPr>
        <w:t>-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вычислительные комплексы электроустановки (</w:t>
      </w:r>
      <w:r w:rsidR="003131C5"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далее 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ИВКЭ)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</w:t>
      </w:r>
      <w:r w:rsidR="00E63760" w:rsidRPr="003131C5">
        <w:rPr>
          <w:rStyle w:val="51"/>
          <w:rFonts w:eastAsia="Courier New"/>
          <w:color w:val="000000" w:themeColor="text1"/>
          <w:sz w:val="24"/>
          <w:szCs w:val="24"/>
        </w:rPr>
        <w:t>–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</w:t>
      </w:r>
      <w:r w:rsidR="0020278F">
        <w:rPr>
          <w:rStyle w:val="51"/>
          <w:rFonts w:eastAsia="Courier New"/>
          <w:color w:val="000000" w:themeColor="text1"/>
          <w:sz w:val="24"/>
          <w:szCs w:val="24"/>
        </w:rPr>
        <w:t>у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стройство сбора и передачи данных </w:t>
      </w:r>
      <w:r w:rsidR="0020278F"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(далее по тексту –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УСПД</w:t>
      </w:r>
      <w:r w:rsidR="0020278F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или </w:t>
      </w:r>
      <w:proofErr w:type="spellStart"/>
      <w:r w:rsidRPr="0020278F">
        <w:rPr>
          <w:rStyle w:val="51"/>
          <w:rFonts w:eastAsia="Courier New"/>
          <w:color w:val="000000" w:themeColor="text1"/>
          <w:sz w:val="24"/>
          <w:szCs w:val="24"/>
        </w:rPr>
        <w:t>промконтроллеры</w:t>
      </w:r>
      <w:proofErr w:type="spellEnd"/>
      <w:r w:rsidRPr="0020278F">
        <w:rPr>
          <w:rStyle w:val="51"/>
          <w:rFonts w:eastAsia="Courier New"/>
          <w:color w:val="000000" w:themeColor="text1"/>
          <w:sz w:val="24"/>
          <w:szCs w:val="24"/>
        </w:rPr>
        <w:t>, технические средства приёма</w:t>
      </w:r>
      <w:r w:rsidR="0001631D">
        <w:rPr>
          <w:rStyle w:val="51"/>
          <w:rFonts w:eastAsia="Courier New"/>
          <w:color w:val="000000" w:themeColor="text1"/>
          <w:sz w:val="24"/>
          <w:szCs w:val="24"/>
        </w:rPr>
        <w:t>-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передачи данных </w:t>
      </w:r>
      <w:r w:rsidR="00E63760">
        <w:rPr>
          <w:rStyle w:val="51"/>
          <w:rFonts w:eastAsia="Courier New"/>
          <w:color w:val="000000" w:themeColor="text1"/>
          <w:sz w:val="24"/>
          <w:szCs w:val="24"/>
        </w:rPr>
        <w:t>–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(каналообразующая аппаратура), информационно</w:t>
      </w:r>
      <w:r w:rsidR="0001631D">
        <w:rPr>
          <w:rStyle w:val="51"/>
          <w:rFonts w:eastAsia="Courier New"/>
          <w:color w:val="000000" w:themeColor="text1"/>
          <w:sz w:val="24"/>
          <w:szCs w:val="24"/>
        </w:rPr>
        <w:t>-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вычислительные комплексы (</w:t>
      </w:r>
      <w:r w:rsidR="003131C5"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далее 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ИВК), система обеспечения единого времени (</w:t>
      </w:r>
      <w:r w:rsidR="003131C5"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далее 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СОЕВ). УСПД, при размещении в электроустановках, должны быть выполнены в промышленном исполнении</w:t>
      </w:r>
      <w:r w:rsidRPr="007E4AE4">
        <w:rPr>
          <w:rStyle w:val="51"/>
          <w:rFonts w:eastAsia="Courier New"/>
          <w:sz w:val="24"/>
          <w:szCs w:val="24"/>
        </w:rPr>
        <w:t>, предназначенном для непрерывного функционирования в помещениях с повышенной опасностью, с возможностью их установки в ограниченных пространствах (в шкафах, отсеках, панелях и т.п.), а также обеспечивать удобство технического обслуживания.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Допускается организация автоматизированного сбора данных без применения ИВКЭ в соответствии с проектным решением.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При определении типов каналов связи в каждом конкретном случае следует исходить из территориального расположения субъектов и объектов учета и максимального использования собственных телекоммуникационных связей. Каналы связи, предназначенные для передачи информации, должны обеспечивать устойчивые соединения между устройствами различных уровней автоматизированных систем Использование сотовой мобильной связи допускается в качестве основного канала связи только в случаях отсутствия других каналов связи обеспечивающих устойчивое соединение.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На присоединениях трансформаторных </w:t>
      </w:r>
      <w:r w:rsidR="00133118">
        <w:rPr>
          <w:rStyle w:val="51"/>
          <w:rFonts w:eastAsia="Courier New"/>
          <w:sz w:val="24"/>
          <w:szCs w:val="24"/>
        </w:rPr>
        <w:t>подстанций (</w:t>
      </w:r>
      <w:r w:rsidR="00133118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133118">
        <w:rPr>
          <w:rStyle w:val="51"/>
          <w:rFonts w:eastAsia="Courier New"/>
          <w:sz w:val="24"/>
          <w:szCs w:val="24"/>
        </w:rPr>
        <w:t>по тексту – Т</w:t>
      </w:r>
      <w:r w:rsidR="00133118"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П) </w:t>
      </w:r>
      <w:r w:rsidRPr="007E4AE4">
        <w:rPr>
          <w:rStyle w:val="51"/>
          <w:rFonts w:eastAsia="Courier New"/>
          <w:sz w:val="24"/>
          <w:szCs w:val="24"/>
        </w:rPr>
        <w:t>6</w:t>
      </w:r>
      <w:r w:rsidR="00133118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10/0,4 кВ, зарегистрированных на ОРЭМ, при условии, что измеряемый ток на присоединении не превышает 60 А, а присоединяемая мощность не более 25 кВт, допускается применять приборы учета электрической энергии прямого включения, то есть включенные в сеть без измерительных трансформаторов. При этом выполнение измерений допускается выполнять с помощью средств измерений, не включенных в АИИС КУЭ, и обеспечивающих учет электрической энергии суммарно на определенный момент времени с применением типовых суточных графиков нагрузки.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Система учета электроэнергии </w:t>
      </w:r>
      <w:r w:rsidR="009A405B">
        <w:rPr>
          <w:rStyle w:val="51"/>
          <w:rFonts w:eastAsia="Courier New"/>
          <w:sz w:val="24"/>
          <w:szCs w:val="24"/>
        </w:rPr>
        <w:t xml:space="preserve">на подстанции </w:t>
      </w:r>
      <w:r w:rsidR="003131C5">
        <w:rPr>
          <w:rStyle w:val="51"/>
          <w:rFonts w:eastAsia="Courier New"/>
          <w:sz w:val="24"/>
          <w:szCs w:val="24"/>
        </w:rPr>
        <w:t>(</w:t>
      </w:r>
      <w:r w:rsidR="003131C5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3131C5">
        <w:rPr>
          <w:rStyle w:val="51"/>
          <w:rFonts w:eastAsia="Courier New"/>
          <w:sz w:val="24"/>
          <w:szCs w:val="24"/>
        </w:rPr>
        <w:t xml:space="preserve">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ПС</w:t>
      </w:r>
      <w:r w:rsidR="003131C5" w:rsidRPr="003131C5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 должна иметь возможность интеграции с </w:t>
      </w:r>
      <w:r w:rsidR="00133118">
        <w:rPr>
          <w:rStyle w:val="51"/>
          <w:rFonts w:eastAsia="Courier New"/>
          <w:color w:val="000000" w:themeColor="text1"/>
          <w:sz w:val="24"/>
          <w:szCs w:val="24"/>
        </w:rPr>
        <w:t xml:space="preserve">автоматизированной системой управления </w:t>
      </w:r>
      <w:r w:rsidR="00133118">
        <w:rPr>
          <w:rStyle w:val="51"/>
          <w:rFonts w:eastAsia="Courier New"/>
          <w:sz w:val="24"/>
          <w:szCs w:val="24"/>
        </w:rPr>
        <w:t>(</w:t>
      </w:r>
      <w:r w:rsidR="00133118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133118">
        <w:rPr>
          <w:rStyle w:val="51"/>
          <w:rFonts w:eastAsia="Courier New"/>
          <w:sz w:val="24"/>
          <w:szCs w:val="24"/>
        </w:rPr>
        <w:t xml:space="preserve">по тексту –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>АСУ</w:t>
      </w:r>
      <w:r w:rsidR="00133118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 ТП в части получения из АСУ ТП</w:t>
      </w:r>
      <w:r w:rsidRPr="007E4AE4">
        <w:rPr>
          <w:rStyle w:val="51"/>
          <w:rFonts w:eastAsia="Courier New"/>
          <w:sz w:val="24"/>
          <w:szCs w:val="24"/>
        </w:rPr>
        <w:t xml:space="preserve"> </w:t>
      </w:r>
      <w:r w:rsidR="00133118">
        <w:rPr>
          <w:rStyle w:val="51"/>
          <w:rFonts w:eastAsia="Courier New"/>
          <w:sz w:val="24"/>
          <w:szCs w:val="24"/>
        </w:rPr>
        <w:t xml:space="preserve">о </w:t>
      </w:r>
      <w:r w:rsidRPr="007E4AE4">
        <w:rPr>
          <w:rStyle w:val="51"/>
          <w:rFonts w:eastAsia="Courier New"/>
          <w:sz w:val="24"/>
          <w:szCs w:val="24"/>
        </w:rPr>
        <w:t>состояни</w:t>
      </w:r>
      <w:r w:rsidR="00533005">
        <w:rPr>
          <w:rStyle w:val="51"/>
          <w:rFonts w:eastAsia="Courier New"/>
          <w:sz w:val="24"/>
          <w:szCs w:val="24"/>
        </w:rPr>
        <w:t xml:space="preserve">и </w:t>
      </w:r>
      <w:r w:rsidR="00533005" w:rsidRPr="007E4AE4">
        <w:rPr>
          <w:rStyle w:val="51"/>
          <w:rFonts w:eastAsia="Courier New"/>
          <w:sz w:val="24"/>
          <w:szCs w:val="24"/>
        </w:rPr>
        <w:t>положени</w:t>
      </w:r>
      <w:r w:rsidR="00533005">
        <w:rPr>
          <w:rStyle w:val="51"/>
          <w:rFonts w:eastAsia="Courier New"/>
          <w:sz w:val="24"/>
          <w:szCs w:val="24"/>
        </w:rPr>
        <w:t>й</w:t>
      </w:r>
      <w:r w:rsidRPr="007E4AE4">
        <w:rPr>
          <w:rStyle w:val="51"/>
          <w:rFonts w:eastAsia="Courier New"/>
          <w:sz w:val="24"/>
          <w:szCs w:val="24"/>
        </w:rPr>
        <w:t xml:space="preserve"> выключателей и разъединителей (при использовании данной информации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t xml:space="preserve">для расчета учетных показателей), передачи в АСУ ТП </w:t>
      </w:r>
      <w:r w:rsidRPr="003131C5">
        <w:rPr>
          <w:rStyle w:val="51"/>
          <w:rFonts w:eastAsia="Courier New"/>
          <w:color w:val="000000" w:themeColor="text1"/>
          <w:sz w:val="24"/>
          <w:szCs w:val="24"/>
        </w:rPr>
        <w:lastRenderedPageBreak/>
        <w:t>информации о неисправности элементов АИИС КУЭ (УСПД, приборов учета электрической энергии, каналообразующей аппаратуры),</w:t>
      </w:r>
      <w:r w:rsidRPr="007E4AE4">
        <w:rPr>
          <w:rStyle w:val="51"/>
          <w:rFonts w:eastAsia="Courier New"/>
          <w:sz w:val="24"/>
          <w:szCs w:val="24"/>
        </w:rPr>
        <w:t xml:space="preserve"> иметь возможность интеграции с другими системами Общества, необходимыми для его функционирования. Система должна обладать средствами защиты от несанкционированного доступа на программном и аппаратном уровне. Эксплуатационная документация на компоненты системы и все оборудование в т.ч. меню, надписи и выводимые сообщения на приборах учета и УСПД должны быть на русском языке (в том числе конфигурирование, настройки и оповещения). Защита технических средств системы от воздействия внешних электрических и магнитных полей, а также помех по цепям питания должна быть достаточной для эффективного выполнения техническими средствами своего назначения при функционировании системы.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Для трансформаторных подстанций 6</w:t>
      </w:r>
      <w:r w:rsidR="00133118">
        <w:rPr>
          <w:rStyle w:val="64"/>
          <w:rFonts w:eastAsia="Courier New"/>
          <w:b/>
          <w:sz w:val="24"/>
          <w:szCs w:val="24"/>
          <w:u w:val="none"/>
        </w:rPr>
        <w:t>-</w:t>
      </w:r>
      <w:r w:rsidRPr="007E4AE4">
        <w:rPr>
          <w:rStyle w:val="64"/>
          <w:rFonts w:eastAsia="Courier New"/>
          <w:b/>
          <w:sz w:val="24"/>
          <w:szCs w:val="24"/>
          <w:u w:val="none"/>
        </w:rPr>
        <w:t>10/0,4 кВ</w:t>
      </w:r>
      <w:r w:rsidR="003E57F9" w:rsidRPr="007E4AE4">
        <w:rPr>
          <w:rStyle w:val="64"/>
          <w:rFonts w:eastAsia="Courier New"/>
          <w:b/>
          <w:sz w:val="24"/>
          <w:szCs w:val="24"/>
          <w:u w:val="none"/>
        </w:rPr>
        <w:t>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Система учета электроэнергии, на уровне ТП 6</w:t>
      </w:r>
      <w:r w:rsidR="0046330F">
        <w:rPr>
          <w:rStyle w:val="51"/>
          <w:rFonts w:eastAsia="Courier New"/>
          <w:sz w:val="24"/>
          <w:szCs w:val="24"/>
        </w:rPr>
        <w:t>,10</w:t>
      </w:r>
      <w:r w:rsidRPr="007E4AE4">
        <w:rPr>
          <w:rStyle w:val="51"/>
          <w:rFonts w:eastAsia="Courier New"/>
          <w:sz w:val="24"/>
          <w:szCs w:val="24"/>
        </w:rPr>
        <w:t xml:space="preserve"> кВ, формируется из ИИК, оснащаемых средствами передачи данных (посредством сети мобильной связи, организации радиоканала, </w:t>
      </w:r>
      <w:r w:rsidRPr="007E4AE4">
        <w:rPr>
          <w:rStyle w:val="51"/>
          <w:rFonts w:eastAsia="Courier New"/>
          <w:sz w:val="24"/>
          <w:szCs w:val="24"/>
          <w:lang w:val="en-US"/>
        </w:rPr>
        <w:t>PLC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="00E63760">
        <w:rPr>
          <w:rStyle w:val="51"/>
          <w:rFonts w:eastAsia="Courier New"/>
          <w:sz w:val="24"/>
          <w:szCs w:val="24"/>
        </w:rPr>
        <w:t>–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Pr="007E4AE4">
        <w:rPr>
          <w:rStyle w:val="51"/>
          <w:rFonts w:eastAsia="Courier New"/>
          <w:sz w:val="24"/>
          <w:szCs w:val="24"/>
        </w:rPr>
        <w:t xml:space="preserve">технологий, </w:t>
      </w:r>
      <w:r w:rsidRPr="007E4AE4">
        <w:rPr>
          <w:rStyle w:val="51"/>
          <w:rFonts w:eastAsia="Courier New"/>
          <w:sz w:val="24"/>
          <w:szCs w:val="24"/>
          <w:lang w:val="en-US"/>
        </w:rPr>
        <w:t>RS</w:t>
      </w:r>
      <w:r w:rsidR="00533005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485 и т.д.).</w:t>
      </w:r>
    </w:p>
    <w:p w:rsidR="00C122B8" w:rsidRPr="00533005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E4AE4">
        <w:rPr>
          <w:rStyle w:val="51"/>
          <w:rFonts w:eastAsia="Courier New"/>
          <w:sz w:val="24"/>
          <w:szCs w:val="24"/>
        </w:rPr>
        <w:t xml:space="preserve">Для защиты приборов учета электрической энергии и коммутационного оборудования от механических воздействий и несанкционированного доступа рекомендуется их размещение в шкафах. Шкафы монтируются с учетом обеспечения удобства доступа, монтажа и эксплуатации. В зависимости от климатических условий размещения, шкафы оборудуются техническими средствами для поддержания температур, необходимых для нормальной работы </w:t>
      </w:r>
      <w:r w:rsidRPr="00533005">
        <w:rPr>
          <w:rStyle w:val="51"/>
          <w:rFonts w:eastAsia="Courier New"/>
          <w:color w:val="000000" w:themeColor="text1"/>
          <w:sz w:val="24"/>
          <w:szCs w:val="24"/>
        </w:rPr>
        <w:t>оборудования.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533005">
        <w:rPr>
          <w:rStyle w:val="51"/>
          <w:rFonts w:eastAsia="Courier New"/>
          <w:color w:val="000000" w:themeColor="text1"/>
          <w:sz w:val="24"/>
          <w:szCs w:val="24"/>
        </w:rPr>
        <w:t xml:space="preserve">При прохождении границы балансовой принадлежности (ГБП) на стороне </w:t>
      </w:r>
      <w:r w:rsidR="00133118" w:rsidRPr="00533005">
        <w:rPr>
          <w:rStyle w:val="51"/>
          <w:rFonts w:eastAsia="Courier New"/>
          <w:color w:val="000000" w:themeColor="text1"/>
          <w:sz w:val="24"/>
          <w:szCs w:val="24"/>
        </w:rPr>
        <w:t xml:space="preserve">ВН </w:t>
      </w:r>
      <w:r w:rsidRPr="00533005">
        <w:rPr>
          <w:rStyle w:val="51"/>
          <w:rFonts w:eastAsia="Courier New"/>
          <w:color w:val="000000" w:themeColor="text1"/>
          <w:sz w:val="24"/>
          <w:szCs w:val="24"/>
        </w:rPr>
        <w:t>ТП потребителя для организации учета рекомендуется применять высоковольтные пункты учета</w:t>
      </w:r>
      <w:r w:rsidRPr="007E4AE4">
        <w:rPr>
          <w:rStyle w:val="51"/>
          <w:rFonts w:eastAsia="Courier New"/>
          <w:sz w:val="24"/>
          <w:szCs w:val="24"/>
        </w:rPr>
        <w:t>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b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Система учета на ВЛ 6</w:t>
      </w:r>
      <w:r w:rsidR="00E63760">
        <w:rPr>
          <w:rStyle w:val="64"/>
          <w:rFonts w:eastAsia="Courier New"/>
          <w:b/>
          <w:sz w:val="24"/>
          <w:szCs w:val="24"/>
          <w:u w:val="none"/>
        </w:rPr>
        <w:t>–</w:t>
      </w:r>
      <w:r w:rsidRPr="007E4AE4">
        <w:rPr>
          <w:rStyle w:val="64"/>
          <w:rFonts w:eastAsia="Courier New"/>
          <w:b/>
          <w:sz w:val="24"/>
          <w:szCs w:val="24"/>
          <w:u w:val="none"/>
        </w:rPr>
        <w:t>10 кВ и выше</w:t>
      </w:r>
      <w:r w:rsidRPr="007E4AE4">
        <w:rPr>
          <w:rStyle w:val="51"/>
          <w:rFonts w:eastAsia="Courier New"/>
          <w:b/>
          <w:sz w:val="24"/>
          <w:szCs w:val="24"/>
        </w:rPr>
        <w:t>.</w:t>
      </w:r>
    </w:p>
    <w:p w:rsidR="00C122B8" w:rsidRPr="009A405B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E4AE4">
        <w:rPr>
          <w:rStyle w:val="51"/>
          <w:rFonts w:eastAsia="Courier New"/>
          <w:sz w:val="24"/>
          <w:szCs w:val="24"/>
        </w:rPr>
        <w:t>Система учета электроэнергии на участке «</w:t>
      </w:r>
      <w:r w:rsidR="00DA6AF2">
        <w:rPr>
          <w:rStyle w:val="51"/>
          <w:rFonts w:eastAsia="Courier New"/>
          <w:sz w:val="24"/>
          <w:szCs w:val="24"/>
        </w:rPr>
        <w:t>Л</w:t>
      </w:r>
      <w:r w:rsidR="00533005">
        <w:rPr>
          <w:rStyle w:val="51"/>
          <w:rFonts w:eastAsia="Courier New"/>
          <w:sz w:val="24"/>
          <w:szCs w:val="24"/>
        </w:rPr>
        <w:t>иния-</w:t>
      </w:r>
      <w:r w:rsidR="00DA6AF2">
        <w:rPr>
          <w:rStyle w:val="51"/>
          <w:rFonts w:eastAsia="Courier New"/>
          <w:sz w:val="24"/>
          <w:szCs w:val="24"/>
        </w:rPr>
        <w:t>П</w:t>
      </w:r>
      <w:r w:rsidRPr="007E4AE4">
        <w:rPr>
          <w:rStyle w:val="51"/>
          <w:rFonts w:eastAsia="Courier New"/>
          <w:sz w:val="24"/>
          <w:szCs w:val="24"/>
        </w:rPr>
        <w:t xml:space="preserve">отребитель» (отпайка) на уровне </w:t>
      </w:r>
      <w:r w:rsidR="00DA6AF2">
        <w:rPr>
          <w:rStyle w:val="51"/>
          <w:rFonts w:eastAsia="Courier New"/>
          <w:sz w:val="24"/>
          <w:szCs w:val="24"/>
        </w:rPr>
        <w:t>распределительного пункта (</w:t>
      </w:r>
      <w:r w:rsidR="00DA6AF2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DA6AF2">
        <w:rPr>
          <w:rStyle w:val="51"/>
          <w:rFonts w:eastAsia="Courier New"/>
          <w:sz w:val="24"/>
          <w:szCs w:val="24"/>
        </w:rPr>
        <w:t xml:space="preserve">по </w:t>
      </w:r>
      <w:r w:rsidR="00DA6AF2"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тексту – </w:t>
      </w:r>
      <w:r w:rsidRPr="007E4AE4">
        <w:rPr>
          <w:rStyle w:val="51"/>
          <w:rFonts w:eastAsia="Courier New"/>
          <w:sz w:val="24"/>
          <w:szCs w:val="24"/>
        </w:rPr>
        <w:t>РП</w:t>
      </w:r>
      <w:r w:rsidR="00DA6AF2">
        <w:rPr>
          <w:rStyle w:val="51"/>
          <w:rFonts w:eastAsia="Courier New"/>
          <w:sz w:val="24"/>
          <w:szCs w:val="24"/>
        </w:rPr>
        <w:t>)</w:t>
      </w:r>
      <w:r w:rsidRPr="007E4AE4">
        <w:rPr>
          <w:rStyle w:val="51"/>
          <w:rFonts w:eastAsia="Courier New"/>
          <w:sz w:val="24"/>
          <w:szCs w:val="24"/>
        </w:rPr>
        <w:t xml:space="preserve"> формируется из ИИК, оснащаемых средствами передачи данных (посредством сети мобильной связи, организации радиоканала, </w:t>
      </w:r>
      <w:r w:rsidRPr="007E4AE4">
        <w:rPr>
          <w:rStyle w:val="51"/>
          <w:rFonts w:eastAsia="Courier New"/>
          <w:sz w:val="24"/>
          <w:szCs w:val="24"/>
          <w:lang w:val="en-US"/>
        </w:rPr>
        <w:t>PLC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="00E63760">
        <w:rPr>
          <w:rStyle w:val="51"/>
          <w:rFonts w:eastAsia="Courier New"/>
          <w:sz w:val="24"/>
          <w:szCs w:val="24"/>
        </w:rPr>
        <w:t>–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Pr="007E4AE4">
        <w:rPr>
          <w:rStyle w:val="51"/>
          <w:rFonts w:eastAsia="Courier New"/>
          <w:sz w:val="24"/>
          <w:szCs w:val="24"/>
        </w:rPr>
        <w:t xml:space="preserve">технологий, </w:t>
      </w:r>
      <w:r w:rsidRPr="007E4AE4">
        <w:rPr>
          <w:rStyle w:val="51"/>
          <w:rFonts w:eastAsia="Courier New"/>
          <w:sz w:val="24"/>
          <w:szCs w:val="24"/>
          <w:lang w:val="en-US"/>
        </w:rPr>
        <w:t>RS</w:t>
      </w:r>
      <w:r w:rsidR="00533005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485 и т.д.).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Для организации учета на 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воздушной линии электропередач (далее по тексту –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ВЛ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7E4AE4">
        <w:rPr>
          <w:rStyle w:val="51"/>
          <w:rFonts w:eastAsia="Courier New"/>
          <w:sz w:val="24"/>
          <w:szCs w:val="24"/>
        </w:rPr>
        <w:t xml:space="preserve"> применяются высоковольтные пункты учета.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При организации точки учета на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РП, для защиты приборов учета электрической энергии и коммутационного оборудования от</w:t>
      </w:r>
      <w:r w:rsidRPr="007E4AE4">
        <w:rPr>
          <w:rStyle w:val="51"/>
          <w:rFonts w:eastAsia="Courier New"/>
          <w:sz w:val="24"/>
          <w:szCs w:val="24"/>
        </w:rPr>
        <w:t xml:space="preserve"> механических воздействий и несанкционированного доступа рекомендуется их размещение в шкафах. Шкафы монтируются с учетом обеспечения удобства доступа, монтажа и эксплуатации. В зависимости от климатических условий размещения, шкафы оборудуются техническими средствами для поддержания температур, необходимых для нормальной работы оборудования.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A405B">
        <w:rPr>
          <w:rStyle w:val="51"/>
          <w:rFonts w:eastAsia="Courier New"/>
          <w:color w:val="000000" w:themeColor="text1"/>
          <w:sz w:val="24"/>
          <w:szCs w:val="24"/>
        </w:rPr>
        <w:t>В случае прохождения границы балансовой принадлежности по ПС, ТП, распределительному устройству (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далее по тексту –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РУ)</w:t>
      </w:r>
      <w:r w:rsidRPr="007E4AE4">
        <w:rPr>
          <w:rStyle w:val="51"/>
          <w:rFonts w:eastAsia="Courier New"/>
          <w:sz w:val="24"/>
          <w:szCs w:val="24"/>
        </w:rPr>
        <w:t xml:space="preserve"> потребителя учет электроэнергии организуется с использованием выносных (в том числе высоковольтных) пунктов коммерческого учета.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В случае отсутствия технической возможности и (или) экономической целесообразности установки средств измерения на границе балансовой принадлежности, допускается их временная установка в иных точках сети, при условии их наименьшей удаленности от границы балансовой принадлежности.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Контрольные средства учета электрической энергии должны устанавливаться на ПС, РП, если расчетный прибор учета расположен на границе балансовой принадлежности, проходящей по стороне потребителя.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Вводы в многоквартирные дома и офисные здания</w:t>
      </w:r>
      <w:r w:rsidRPr="007E4AE4">
        <w:rPr>
          <w:rStyle w:val="51"/>
          <w:rFonts w:eastAsia="Courier New"/>
          <w:b/>
          <w:sz w:val="24"/>
          <w:szCs w:val="24"/>
        </w:rPr>
        <w:t>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Для многоквартирных домов необходимо в обязательном порядке оснастить вводные распределительные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устройства (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далее по тексту –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ВРУ) учетом электроэнергии</w:t>
      </w:r>
      <w:r w:rsidRPr="007E4AE4">
        <w:rPr>
          <w:rStyle w:val="51"/>
          <w:rFonts w:eastAsia="Courier New"/>
          <w:sz w:val="24"/>
          <w:szCs w:val="24"/>
        </w:rPr>
        <w:t xml:space="preserve"> (в том числе с использованием выносных пунктов коммерческого учета), при этом устанавливаемый прибор учета электрической энергии должен иметь возможность организации автоматизированного сбора учетных данных.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Выносной пункт учета в общем случае состоит из средства учета, коммутационного и оборудования связи, а также при необходимости оборудования для формирования сигналов </w:t>
      </w:r>
      <w:r w:rsidRPr="007E4AE4">
        <w:rPr>
          <w:rStyle w:val="51"/>
          <w:rFonts w:eastAsia="Courier New"/>
          <w:sz w:val="24"/>
          <w:szCs w:val="24"/>
        </w:rPr>
        <w:lastRenderedPageBreak/>
        <w:t>управления нагрузкой потребителя.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Для защиты средств измерений и коммутационного оборудования от механических воздействий и несанкционированного доступа рекомендуется их размещение в шкафах, монтируемых с учетом обеспечения удобства доступа, монтажа и эксплуатации. В зависимости от климатических условий размещения, шкафы оборудуются техническими средствами для поддержания температур, необходимых для нормальной работы оборудования.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Если внутридомовые сети многоквартирного дома находятся на балансе сетевой компании, то расчетный учет организуется в точках поставки электроэнергии потребителям. Для обеспечения технического учета вводы в многоквартирный дом оснащаются приборами учета электрической энергии, устанавливаемыми в ВРУ 0,4 кВ жилого дома.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При наличии в жилом многоквартирном доме нежилых помещений</w:t>
      </w:r>
      <w:r w:rsidR="00533005">
        <w:rPr>
          <w:rStyle w:val="51"/>
          <w:rFonts w:eastAsia="Courier New"/>
          <w:sz w:val="24"/>
          <w:szCs w:val="24"/>
        </w:rPr>
        <w:t>,</w:t>
      </w:r>
      <w:r w:rsidRPr="007E4AE4">
        <w:rPr>
          <w:rStyle w:val="51"/>
          <w:rFonts w:eastAsia="Courier New"/>
          <w:sz w:val="24"/>
          <w:szCs w:val="24"/>
        </w:rPr>
        <w:t xml:space="preserve"> обеспечивается раздельный учет потребляемой электроэнергии для таких помещений.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 xml:space="preserve">ВРУ частных домовладений и юридических лиц 0,4 </w:t>
      </w:r>
      <w:proofErr w:type="spellStart"/>
      <w:r w:rsidRPr="007E4AE4">
        <w:rPr>
          <w:rStyle w:val="64"/>
          <w:rFonts w:eastAsia="Courier New"/>
          <w:b/>
          <w:sz w:val="24"/>
          <w:szCs w:val="24"/>
          <w:u w:val="none"/>
        </w:rPr>
        <w:t>кВ</w:t>
      </w:r>
      <w:r w:rsidRPr="007E4AE4">
        <w:rPr>
          <w:rStyle w:val="51"/>
          <w:rFonts w:eastAsia="Courier New"/>
          <w:b/>
          <w:sz w:val="24"/>
          <w:szCs w:val="24"/>
        </w:rPr>
        <w:t>.</w:t>
      </w:r>
      <w:proofErr w:type="spellEnd"/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bookmarkStart w:id="1" w:name="bookmark73"/>
      <w:bookmarkStart w:id="2" w:name="bookmark74"/>
      <w:r w:rsidRPr="007E4AE4">
        <w:rPr>
          <w:rStyle w:val="51"/>
          <w:rFonts w:eastAsia="Courier New"/>
          <w:sz w:val="24"/>
          <w:szCs w:val="24"/>
        </w:rPr>
        <w:t xml:space="preserve">Система учета электроэнергии для юридических лиц и частных домовладений, подключенных к сети 0,4 </w:t>
      </w:r>
      <w:proofErr w:type="spellStart"/>
      <w:r w:rsidRPr="007E4AE4">
        <w:rPr>
          <w:rStyle w:val="51"/>
          <w:rFonts w:eastAsia="Courier New"/>
          <w:sz w:val="24"/>
          <w:szCs w:val="24"/>
        </w:rPr>
        <w:t>кВ</w:t>
      </w:r>
      <w:proofErr w:type="spellEnd"/>
      <w:r w:rsidRPr="007E4AE4">
        <w:rPr>
          <w:rStyle w:val="51"/>
          <w:rFonts w:eastAsia="Courier New"/>
          <w:sz w:val="24"/>
          <w:szCs w:val="24"/>
        </w:rPr>
        <w:t xml:space="preserve">, формируется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из 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>И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ИК,</w:t>
      </w:r>
      <w:r w:rsidRPr="007E4AE4">
        <w:rPr>
          <w:rStyle w:val="51"/>
          <w:rFonts w:eastAsia="Courier New"/>
          <w:sz w:val="24"/>
          <w:szCs w:val="24"/>
        </w:rPr>
        <w:t xml:space="preserve"> оснащаемых средствами передачи данных (через сети мобильной связи, радиоканалы, </w:t>
      </w:r>
      <w:r w:rsidRPr="007E4AE4">
        <w:rPr>
          <w:rStyle w:val="51"/>
          <w:rFonts w:eastAsia="Courier New"/>
          <w:sz w:val="24"/>
          <w:szCs w:val="24"/>
          <w:lang w:val="en-US"/>
        </w:rPr>
        <w:t>PLC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="00E63760">
        <w:rPr>
          <w:rStyle w:val="51"/>
          <w:rFonts w:eastAsia="Courier New"/>
          <w:sz w:val="24"/>
          <w:szCs w:val="24"/>
        </w:rPr>
        <w:t>–</w:t>
      </w:r>
      <w:r w:rsidR="00533005">
        <w:rPr>
          <w:rStyle w:val="51"/>
          <w:rFonts w:eastAsia="Courier New"/>
          <w:sz w:val="24"/>
          <w:szCs w:val="24"/>
        </w:rPr>
        <w:t xml:space="preserve"> </w:t>
      </w:r>
      <w:r w:rsidRPr="007E4AE4">
        <w:rPr>
          <w:rStyle w:val="51"/>
          <w:rFonts w:eastAsia="Courier New"/>
          <w:sz w:val="24"/>
          <w:szCs w:val="24"/>
        </w:rPr>
        <w:t xml:space="preserve">технологии, </w:t>
      </w:r>
      <w:r w:rsidR="004E79DA" w:rsidRPr="007E4AE4">
        <w:rPr>
          <w:rStyle w:val="51"/>
          <w:rFonts w:eastAsia="Courier New"/>
          <w:sz w:val="24"/>
          <w:szCs w:val="24"/>
          <w:lang w:val="en-US"/>
        </w:rPr>
        <w:t>RS</w:t>
      </w:r>
      <w:r w:rsidR="004E79DA">
        <w:rPr>
          <w:rStyle w:val="51"/>
          <w:rFonts w:eastAsia="Courier New"/>
          <w:sz w:val="24"/>
          <w:szCs w:val="24"/>
        </w:rPr>
        <w:t>-</w:t>
      </w:r>
      <w:r w:rsidR="004E79DA" w:rsidRPr="007E4AE4">
        <w:rPr>
          <w:rStyle w:val="51"/>
          <w:rFonts w:eastAsia="Courier New"/>
          <w:sz w:val="24"/>
          <w:szCs w:val="24"/>
        </w:rPr>
        <w:t>485 и т.д.</w:t>
      </w:r>
      <w:r w:rsidRPr="007E4AE4">
        <w:rPr>
          <w:rStyle w:val="51"/>
          <w:rFonts w:eastAsia="Courier New"/>
          <w:sz w:val="24"/>
          <w:szCs w:val="24"/>
        </w:rPr>
        <w:t>), допускается применение приборов учета электрической энергии, оборудованных удаленным (выносным) дисплеем для отображения информации.</w:t>
      </w:r>
      <w:bookmarkEnd w:id="1"/>
      <w:bookmarkEnd w:id="2"/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Для граждан</w:t>
      </w:r>
      <w:r w:rsidR="00533005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потребителей электрической энергии, проживающих в частных домовладениях, средства измерения устанавливаются на границе балансовой принадлежности за территорией жилого помещения, на вводе в дом, с применением выносных пунктов учета.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Для потребителей юр</w:t>
      </w:r>
      <w:r w:rsidR="002C715B">
        <w:rPr>
          <w:rStyle w:val="51"/>
          <w:rFonts w:eastAsia="Courier New"/>
          <w:sz w:val="24"/>
          <w:szCs w:val="24"/>
        </w:rPr>
        <w:t>идических</w:t>
      </w:r>
      <w:r w:rsidRPr="007E4AE4">
        <w:rPr>
          <w:rStyle w:val="51"/>
          <w:rFonts w:eastAsia="Courier New"/>
          <w:sz w:val="24"/>
          <w:szCs w:val="24"/>
        </w:rPr>
        <w:t xml:space="preserve"> лиц электрической энергии средства измерения устанавливаются на границе балансовой принадлежности, с применением выносных пунктов учета.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Для бытовых потребителей многоквартирных жилых домов.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>При установке/замене средств измерений у бытовых потребителей должен быть организован автоматизированный сбор данных приборов учета: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При новом строительстве </w:t>
      </w:r>
      <w:r w:rsidR="00E63760">
        <w:rPr>
          <w:rStyle w:val="51"/>
          <w:rFonts w:eastAsia="Courier New"/>
          <w:sz w:val="24"/>
          <w:szCs w:val="24"/>
        </w:rPr>
        <w:t>–</w:t>
      </w:r>
      <w:r w:rsidRPr="007E4AE4">
        <w:rPr>
          <w:rStyle w:val="51"/>
          <w:rFonts w:eastAsia="Courier New"/>
          <w:sz w:val="24"/>
          <w:szCs w:val="24"/>
        </w:rPr>
        <w:t xml:space="preserve"> на границе балансовой принадлежности с монтажом вводных проводов и вводно</w:t>
      </w:r>
      <w:r w:rsidR="00533005">
        <w:rPr>
          <w:rStyle w:val="51"/>
          <w:rFonts w:eastAsia="Courier New"/>
          <w:sz w:val="24"/>
          <w:szCs w:val="24"/>
        </w:rPr>
        <w:t>-</w:t>
      </w:r>
      <w:r w:rsidRPr="007E4AE4">
        <w:rPr>
          <w:rStyle w:val="51"/>
          <w:rFonts w:eastAsia="Courier New"/>
          <w:sz w:val="24"/>
          <w:szCs w:val="24"/>
        </w:rPr>
        <w:t>распределительных устройств, с помощью которых обеспечивается защита от несанкционированного доступа к средствам измерений и неизолированным токоведущим частям электроустановки, расположенным до средств измерений.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При модернизации систем учета </w:t>
      </w:r>
      <w:r w:rsidR="00E63760">
        <w:rPr>
          <w:rStyle w:val="51"/>
          <w:rFonts w:eastAsia="Courier New"/>
          <w:sz w:val="24"/>
          <w:szCs w:val="24"/>
        </w:rPr>
        <w:t>–</w:t>
      </w:r>
      <w:r w:rsidRPr="007E4AE4">
        <w:rPr>
          <w:rStyle w:val="51"/>
          <w:rFonts w:eastAsia="Courier New"/>
          <w:sz w:val="24"/>
          <w:szCs w:val="24"/>
        </w:rPr>
        <w:t xml:space="preserve"> вынесение средств измерений за территорию жилых помещений (частных домовладений) на границу балансовой принадлежности, в том числе с применением выносных пунктов учета электроэнергии.</w:t>
      </w: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Style w:val="51"/>
          <w:rFonts w:eastAsia="Courier New"/>
          <w:sz w:val="24"/>
          <w:szCs w:val="24"/>
        </w:rPr>
        <w:t xml:space="preserve">При замене приборов учета электрической энергии внутри помещений </w:t>
      </w:r>
      <w:r w:rsidR="00E63760">
        <w:rPr>
          <w:rStyle w:val="51"/>
          <w:rFonts w:eastAsia="Courier New"/>
          <w:sz w:val="24"/>
          <w:szCs w:val="24"/>
        </w:rPr>
        <w:t>–</w:t>
      </w:r>
      <w:r w:rsidRPr="007E4AE4">
        <w:rPr>
          <w:rStyle w:val="51"/>
          <w:rFonts w:eastAsia="Courier New"/>
          <w:sz w:val="24"/>
          <w:szCs w:val="24"/>
        </w:rPr>
        <w:t xml:space="preserve"> применение измерительных комплексов учета электроэнергии, обеспечивающих измерение, доступ к средствам измерений уполномоченным лицам, а также возможность организации управления нагрузкой потребителей.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Технический учет в распределительных сетях</w:t>
      </w:r>
      <w:r w:rsidR="003E57F9" w:rsidRPr="007E4AE4">
        <w:rPr>
          <w:rStyle w:val="64"/>
          <w:rFonts w:eastAsia="Courier New"/>
          <w:b/>
          <w:sz w:val="24"/>
          <w:szCs w:val="24"/>
          <w:u w:val="none"/>
        </w:rPr>
        <w:t>.</w:t>
      </w:r>
    </w:p>
    <w:p w:rsidR="00C122B8" w:rsidRPr="0020278F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E4AE4">
        <w:rPr>
          <w:rStyle w:val="51"/>
          <w:rFonts w:eastAsia="Courier New"/>
          <w:sz w:val="24"/>
          <w:szCs w:val="24"/>
        </w:rPr>
        <w:t xml:space="preserve">На объектах распределительного электросетевого комплекса технический учет активной и реактивной электроэнергии необходимо организовать на ПС 35, 110 </w:t>
      </w:r>
      <w:proofErr w:type="spellStart"/>
      <w:r w:rsidRPr="007E4AE4">
        <w:rPr>
          <w:rStyle w:val="51"/>
          <w:rFonts w:eastAsia="Courier New"/>
          <w:sz w:val="24"/>
          <w:szCs w:val="24"/>
        </w:rPr>
        <w:t>кВ</w:t>
      </w:r>
      <w:proofErr w:type="spellEnd"/>
      <w:r w:rsidRPr="007E4AE4">
        <w:rPr>
          <w:rStyle w:val="51"/>
          <w:rFonts w:eastAsia="Courier New"/>
          <w:sz w:val="24"/>
          <w:szCs w:val="24"/>
        </w:rPr>
        <w:t xml:space="preserve"> на вводах среднего и низшего напряжений силовых трансформаторов, на каждой отходящей линии электропередачи</w:t>
      </w:r>
      <w:r w:rsidR="004E79DA" w:rsidRPr="004E79DA">
        <w:rPr>
          <w:rStyle w:val="51"/>
          <w:rFonts w:eastAsia="Courier New"/>
          <w:sz w:val="24"/>
          <w:szCs w:val="24"/>
        </w:rPr>
        <w:br/>
      </w:r>
      <w:r w:rsidRPr="007E4AE4">
        <w:rPr>
          <w:rStyle w:val="51"/>
          <w:rFonts w:eastAsia="Courier New"/>
          <w:sz w:val="24"/>
          <w:szCs w:val="24"/>
        </w:rPr>
        <w:t>6</w:t>
      </w:r>
      <w:r w:rsidR="00533005">
        <w:rPr>
          <w:rStyle w:val="51"/>
          <w:rFonts w:eastAsia="Courier New"/>
          <w:sz w:val="24"/>
          <w:szCs w:val="24"/>
        </w:rPr>
        <w:t>-10</w:t>
      </w:r>
      <w:r w:rsidRPr="007E4AE4">
        <w:rPr>
          <w:rStyle w:val="51"/>
          <w:rFonts w:eastAsia="Courier New"/>
          <w:sz w:val="24"/>
          <w:szCs w:val="24"/>
        </w:rPr>
        <w:t xml:space="preserve"> </w:t>
      </w:r>
      <w:proofErr w:type="spellStart"/>
      <w:r w:rsidRPr="007E4AE4">
        <w:rPr>
          <w:rStyle w:val="51"/>
          <w:rFonts w:eastAsia="Courier New"/>
          <w:sz w:val="24"/>
          <w:szCs w:val="24"/>
        </w:rPr>
        <w:t>кВ</w:t>
      </w:r>
      <w:proofErr w:type="spellEnd"/>
      <w:r w:rsidRPr="007E4AE4">
        <w:rPr>
          <w:rStyle w:val="51"/>
          <w:rFonts w:eastAsia="Courier New"/>
          <w:sz w:val="24"/>
          <w:szCs w:val="24"/>
        </w:rPr>
        <w:t xml:space="preserve"> и выше. Кроме того, в зависимости от топологии сети, с целью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балансирования участков распределительной сети необходимо организовать учет на присоединениях ТП, 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распределительных трансформаторных подстанций (далее по тексту –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РТП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, РП и т.д.</w:t>
      </w:r>
    </w:p>
    <w:p w:rsidR="003E57F9" w:rsidRPr="007E4AE4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64"/>
          <w:rFonts w:eastAsia="Courier New"/>
          <w:sz w:val="24"/>
          <w:szCs w:val="24"/>
          <w:u w:val="none"/>
        </w:rPr>
      </w:pPr>
    </w:p>
    <w:p w:rsidR="00C122B8" w:rsidRPr="007E4AE4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E4AE4">
        <w:rPr>
          <w:rStyle w:val="64"/>
          <w:rFonts w:eastAsia="Courier New"/>
          <w:b/>
          <w:sz w:val="24"/>
          <w:szCs w:val="24"/>
          <w:u w:val="none"/>
        </w:rPr>
        <w:t>Трансформаторы собственных нужд</w:t>
      </w:r>
      <w:r w:rsidR="003E57F9" w:rsidRPr="007E4AE4">
        <w:rPr>
          <w:rStyle w:val="64"/>
          <w:rFonts w:eastAsia="Courier New"/>
          <w:b/>
          <w:sz w:val="24"/>
          <w:szCs w:val="24"/>
          <w:u w:val="none"/>
        </w:rPr>
        <w:t>.</w:t>
      </w:r>
    </w:p>
    <w:p w:rsidR="00C122B8" w:rsidRPr="0020278F" w:rsidRDefault="00B74EE6" w:rsidP="003E57F9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E4AE4">
        <w:rPr>
          <w:rStyle w:val="51"/>
          <w:rFonts w:eastAsia="Courier New"/>
          <w:sz w:val="24"/>
          <w:szCs w:val="24"/>
        </w:rPr>
        <w:t>На трансформаторах собственных нужд (</w:t>
      </w:r>
      <w:r w:rsidR="009A405B" w:rsidRPr="007E4AE4">
        <w:rPr>
          <w:rStyle w:val="51"/>
          <w:rFonts w:eastAsia="Courier New"/>
          <w:sz w:val="24"/>
          <w:szCs w:val="24"/>
        </w:rPr>
        <w:t xml:space="preserve">далее </w:t>
      </w:r>
      <w:r w:rsidR="009A405B">
        <w:rPr>
          <w:rStyle w:val="51"/>
          <w:rFonts w:eastAsia="Courier New"/>
          <w:sz w:val="24"/>
          <w:szCs w:val="24"/>
        </w:rPr>
        <w:t xml:space="preserve">по </w:t>
      </w:r>
      <w:r w:rsidR="009A405B" w:rsidRPr="009A405B">
        <w:rPr>
          <w:rStyle w:val="51"/>
          <w:rFonts w:eastAsia="Courier New"/>
          <w:color w:val="000000" w:themeColor="text1"/>
          <w:sz w:val="24"/>
          <w:szCs w:val="24"/>
        </w:rPr>
        <w:t xml:space="preserve">тексту – </w:t>
      </w:r>
      <w:r w:rsidRPr="009A405B">
        <w:rPr>
          <w:rStyle w:val="51"/>
          <w:rFonts w:eastAsia="Courier New"/>
          <w:color w:val="000000" w:themeColor="text1"/>
          <w:sz w:val="24"/>
          <w:szCs w:val="24"/>
        </w:rPr>
        <w:t>ТСН) устанавливаются</w:t>
      </w:r>
      <w:r w:rsidRPr="007E4AE4">
        <w:rPr>
          <w:rStyle w:val="51"/>
          <w:rFonts w:eastAsia="Courier New"/>
          <w:sz w:val="24"/>
          <w:szCs w:val="24"/>
        </w:rPr>
        <w:t xml:space="preserve"> средства учета электроэнергии, соответствующие требованиям, предъявляемым к коммерческому учету электрической энергии.</w:t>
      </w:r>
    </w:p>
    <w:p w:rsidR="00C122B8" w:rsidRPr="0020278F" w:rsidRDefault="00B74EE6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color w:val="000000" w:themeColor="text1"/>
          <w:sz w:val="24"/>
          <w:szCs w:val="24"/>
        </w:rPr>
      </w:pP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Учет должен быть организован со стороны ВН ТСН. В случае отсутствия технической возможности и (или) экономической целесообразности установки средств измерения на </w:t>
      </w:r>
      <w:r w:rsidR="00D70269">
        <w:rPr>
          <w:rStyle w:val="51"/>
          <w:rFonts w:eastAsia="Courier New"/>
          <w:color w:val="000000" w:themeColor="text1"/>
          <w:sz w:val="24"/>
          <w:szCs w:val="24"/>
        </w:rPr>
        <w:t xml:space="preserve">стороне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ВН ТСН, допускается их установка со стороны 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низшего напряжения (далее по тексту –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>НН</w:t>
      </w:r>
      <w:r w:rsidR="0020278F" w:rsidRPr="0020278F">
        <w:rPr>
          <w:rStyle w:val="51"/>
          <w:rFonts w:eastAsia="Courier New"/>
          <w:color w:val="000000" w:themeColor="text1"/>
          <w:sz w:val="24"/>
          <w:szCs w:val="24"/>
        </w:rPr>
        <w:t>)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ТСН с </w:t>
      </w:r>
      <w:r w:rsidRPr="0020278F">
        <w:rPr>
          <w:rStyle w:val="51"/>
          <w:rFonts w:eastAsia="Courier New"/>
          <w:color w:val="000000" w:themeColor="text1"/>
          <w:sz w:val="24"/>
          <w:szCs w:val="24"/>
        </w:rPr>
        <w:lastRenderedPageBreak/>
        <w:t xml:space="preserve">применением функции </w:t>
      </w:r>
      <w:proofErr w:type="spellStart"/>
      <w:r w:rsidRPr="0020278F">
        <w:rPr>
          <w:rStyle w:val="51"/>
          <w:rFonts w:eastAsia="Courier New"/>
          <w:color w:val="000000" w:themeColor="text1"/>
          <w:sz w:val="24"/>
          <w:szCs w:val="24"/>
        </w:rPr>
        <w:t>дорасчета</w:t>
      </w:r>
      <w:proofErr w:type="spellEnd"/>
      <w:r w:rsidRPr="0020278F">
        <w:rPr>
          <w:rStyle w:val="51"/>
          <w:rFonts w:eastAsia="Courier New"/>
          <w:color w:val="000000" w:themeColor="text1"/>
          <w:sz w:val="24"/>
          <w:szCs w:val="24"/>
        </w:rPr>
        <w:t xml:space="preserve"> технических потерь электрической энергии.</w:t>
      </w:r>
    </w:p>
    <w:p w:rsidR="003E57F9" w:rsidRDefault="003E57F9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9F7995" w:rsidRPr="007E4AE4" w:rsidRDefault="009F7995" w:rsidP="003E57F9">
      <w:pPr>
        <w:pStyle w:val="af7"/>
        <w:tabs>
          <w:tab w:val="left" w:pos="993"/>
        </w:tabs>
        <w:ind w:firstLine="567"/>
        <w:jc w:val="both"/>
        <w:rPr>
          <w:rStyle w:val="51"/>
          <w:rFonts w:eastAsia="Courier New"/>
          <w:sz w:val="24"/>
          <w:szCs w:val="24"/>
        </w:rPr>
      </w:pPr>
    </w:p>
    <w:p w:rsidR="003F2A0F" w:rsidRPr="003131C5" w:rsidRDefault="003F2A0F" w:rsidP="0058682B">
      <w:pPr>
        <w:pStyle w:val="af7"/>
        <w:numPr>
          <w:ilvl w:val="0"/>
          <w:numId w:val="1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</w:rPr>
      </w:pPr>
      <w:bookmarkStart w:id="3" w:name="bookmark174"/>
      <w:bookmarkStart w:id="4" w:name="bookmark68"/>
      <w:r w:rsidRPr="003131C5">
        <w:rPr>
          <w:rFonts w:ascii="Times New Roman" w:hAnsi="Times New Roman" w:cs="Times New Roman"/>
          <w:b/>
        </w:rPr>
        <w:t>Метрологическое обеспечение</w:t>
      </w:r>
      <w:bookmarkEnd w:id="3"/>
    </w:p>
    <w:p w:rsidR="003F2A0F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E4AE4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Целью метрологического обеспечения производства является обеспечение единства и требуемой точности измерений во всех производственных процессах при осуществлении деятельности по приему, преобразованию, передаче и распределению электрической энергии (контроль режимов и параметров сети, качества электрической энергии, учет энергоресурсов, мониторинг и диагностика состояния оборудования и т.д.) в соответствии с действующими нормативными правовыми актами Российской Феде</w:t>
      </w:r>
      <w:r>
        <w:rPr>
          <w:rFonts w:ascii="Times New Roman" w:hAnsi="Times New Roman" w:cs="Times New Roman"/>
        </w:rPr>
        <w:t>рации.</w:t>
      </w:r>
    </w:p>
    <w:p w:rsidR="003F2A0F" w:rsidRPr="007E4AE4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Метрологическое обеспечение производства осуществляется на всех этапах жизненного цикла объектов электросетевого комплекса (проектирование, ввод в эксплуатацию, постоянная эксплуатация).</w:t>
      </w:r>
    </w:p>
    <w:p w:rsidR="003F2A0F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12C99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12C99">
        <w:rPr>
          <w:rFonts w:ascii="Times New Roman" w:hAnsi="Times New Roman" w:cs="Times New Roman"/>
          <w:b/>
        </w:rPr>
        <w:t>Приоритетными направлениями технической политики в области метрологического обеспечения являются: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организация приведения отраслевой нормативной документации и стандартов организации в области метрологического обеспечения в соответствие требованиям законодательства РФ и изменившейся структуре отрасли;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внедрение современных методов и средств измерений, автоматизированного контрольно</w:t>
      </w:r>
      <w:r w:rsidR="00384A33">
        <w:rPr>
          <w:rFonts w:ascii="Times New Roman" w:hAnsi="Times New Roman" w:cs="Times New Roman"/>
        </w:rPr>
        <w:t>-</w:t>
      </w:r>
      <w:r w:rsidRPr="007E4AE4">
        <w:rPr>
          <w:rFonts w:ascii="Times New Roman" w:hAnsi="Times New Roman" w:cs="Times New Roman"/>
        </w:rPr>
        <w:t>измерительного оборудования, оснащения метрологических лабораторий современными установками для калибровки/поверки средств измерений и эталонными средствами, необходимой вычислительной техникой, транспортными средствами;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внедрение новейших средств измерений, основанных на инновационных технологиях и методах измерений, обеспечивающих высокую точность измерений в широком диапазоне изменения параметров, стабильность метрологических характеристик в течение всего срока службы, увеличенный интервал периодического метрологического контроля;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планирование организации метрологического обеспечения с повышенной точностью для инновационных типов нового оборудования;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разработка стандартов организации по созданию системы метрологического обеспечения на всех этапах, начиная с планирования работ до выборочного контроля качества их выполнения;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проведение аккредитации на техническую компетентность подразделений метрологической службы (исполнительного аппарата и филиалов);</w:t>
      </w:r>
    </w:p>
    <w:p w:rsidR="003F2A0F" w:rsidRPr="007E4AE4" w:rsidRDefault="003F2A0F" w:rsidP="0058682B">
      <w:pPr>
        <w:pStyle w:val="af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создание автоматизированной системы учета за состоянием, метрологическим обеспечением и техническим обслуживанием средств измерений, переход на электронные паспорта по средствам измерений в электросетевом комплексе.</w:t>
      </w:r>
    </w:p>
    <w:p w:rsidR="003F2A0F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12C99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12C99">
        <w:rPr>
          <w:rFonts w:ascii="Times New Roman" w:hAnsi="Times New Roman" w:cs="Times New Roman"/>
          <w:b/>
        </w:rPr>
        <w:t>Требования к измерениям:</w:t>
      </w:r>
    </w:p>
    <w:p w:rsidR="003F2A0F" w:rsidRPr="007E4AE4" w:rsidRDefault="003F2A0F" w:rsidP="0058682B">
      <w:pPr>
        <w:pStyle w:val="af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bookmark175"/>
      <w:r w:rsidRPr="007E4AE4">
        <w:rPr>
          <w:rFonts w:ascii="Times New Roman" w:hAnsi="Times New Roman" w:cs="Times New Roman"/>
        </w:rPr>
        <w:t>измерения должны выполняться в соответствии с нормами точности измерения конкретного измеряемого параметра согласно действующим государственным и отраслевым нормативным требованиям по обеспечению единства измерений;</w:t>
      </w:r>
      <w:bookmarkEnd w:id="5"/>
    </w:p>
    <w:p w:rsidR="003F2A0F" w:rsidRPr="007E4AE4" w:rsidRDefault="003F2A0F" w:rsidP="0058682B">
      <w:pPr>
        <w:pStyle w:val="af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измерения (за исключением прямых измерений) должны выполняться по аттестованным в установленном порядке методикам (методам) измерений.</w:t>
      </w:r>
    </w:p>
    <w:p w:rsidR="003131C5" w:rsidRDefault="003131C5" w:rsidP="003131C5">
      <w:pPr>
        <w:pStyle w:val="af7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3F2A0F" w:rsidRPr="009C6F9B" w:rsidRDefault="003F2A0F" w:rsidP="003131C5">
      <w:pPr>
        <w:pStyle w:val="af7"/>
        <w:tabs>
          <w:tab w:val="left" w:pos="993"/>
        </w:tabs>
        <w:ind w:left="567"/>
        <w:jc w:val="both"/>
        <w:rPr>
          <w:rFonts w:ascii="Times New Roman" w:hAnsi="Times New Roman" w:cs="Times New Roman"/>
          <w:b/>
        </w:rPr>
      </w:pPr>
      <w:r w:rsidRPr="009C6F9B">
        <w:rPr>
          <w:rFonts w:ascii="Times New Roman" w:hAnsi="Times New Roman" w:cs="Times New Roman"/>
          <w:b/>
        </w:rPr>
        <w:t>Требования к средствам измерений (</w:t>
      </w:r>
      <w:r w:rsidR="00DA6AF2" w:rsidRPr="009C6F9B">
        <w:rPr>
          <w:rStyle w:val="51"/>
          <w:rFonts w:eastAsia="Courier New"/>
          <w:b/>
          <w:color w:val="000000" w:themeColor="text1"/>
          <w:sz w:val="24"/>
          <w:szCs w:val="24"/>
        </w:rPr>
        <w:t xml:space="preserve">далее по тексту – </w:t>
      </w:r>
      <w:r w:rsidRPr="009C6F9B">
        <w:rPr>
          <w:rFonts w:ascii="Times New Roman" w:hAnsi="Times New Roman" w:cs="Times New Roman"/>
          <w:b/>
        </w:rPr>
        <w:t>СИ):</w:t>
      </w:r>
    </w:p>
    <w:p w:rsidR="003F2A0F" w:rsidRPr="007E4AE4" w:rsidRDefault="003F2A0F" w:rsidP="0058682B">
      <w:pPr>
        <w:pStyle w:val="af7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 xml:space="preserve">СИ должны быть утвержденного типа (зарегистрированы в Федеральном информационном фонде по обеспечению единства измерений </w:t>
      </w:r>
      <w:r w:rsidR="00E63760">
        <w:rPr>
          <w:rFonts w:ascii="Times New Roman" w:hAnsi="Times New Roman" w:cs="Times New Roman"/>
        </w:rPr>
        <w:t>–</w:t>
      </w:r>
      <w:r w:rsidRPr="007E4AE4">
        <w:rPr>
          <w:rFonts w:ascii="Times New Roman" w:hAnsi="Times New Roman" w:cs="Times New Roman"/>
        </w:rPr>
        <w:t xml:space="preserve"> Сведения об утвержденных типах СИ), допущены к применению в РФ и находиться в исправном состоянии;</w:t>
      </w:r>
    </w:p>
    <w:p w:rsidR="003F2A0F" w:rsidRPr="007E4AE4" w:rsidRDefault="003F2A0F" w:rsidP="0058682B">
      <w:pPr>
        <w:pStyle w:val="af7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метрологические характеристики СИ должны соответствовать нормам точности измерения конкретного измеряемого параметра согласно действующим государственным и отраслевым нормативным требованиям по обеспечению единства измерений;</w:t>
      </w:r>
    </w:p>
    <w:p w:rsidR="003F2A0F" w:rsidRPr="007E4AE4" w:rsidRDefault="003F2A0F" w:rsidP="0058682B">
      <w:pPr>
        <w:pStyle w:val="af7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вновь устанавливаемые (при аварийной или плановой замене) СИ должны быть аттестованы на соответствие требованиям Общества;</w:t>
      </w:r>
    </w:p>
    <w:p w:rsidR="003F2A0F" w:rsidRPr="007E4AE4" w:rsidRDefault="003F2A0F" w:rsidP="0058682B">
      <w:pPr>
        <w:pStyle w:val="af7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 xml:space="preserve">СИ должны быть </w:t>
      </w:r>
      <w:proofErr w:type="spellStart"/>
      <w:r w:rsidRPr="007E4AE4">
        <w:rPr>
          <w:rFonts w:ascii="Times New Roman" w:hAnsi="Times New Roman" w:cs="Times New Roman"/>
        </w:rPr>
        <w:t>поверены</w:t>
      </w:r>
      <w:proofErr w:type="spellEnd"/>
      <w:r w:rsidRPr="007E4AE4">
        <w:rPr>
          <w:rFonts w:ascii="Times New Roman" w:hAnsi="Times New Roman" w:cs="Times New Roman"/>
        </w:rPr>
        <w:t xml:space="preserve"> (калиброваны) в установленном порядке и иметь действующие свидетельство (сертификат) и/или знак о поверке/калибровки, запись в </w:t>
      </w:r>
      <w:r w:rsidRPr="007E4AE4">
        <w:rPr>
          <w:rFonts w:ascii="Times New Roman" w:hAnsi="Times New Roman" w:cs="Times New Roman"/>
        </w:rPr>
        <w:lastRenderedPageBreak/>
        <w:t>эксплуатационных документах на СИ;</w:t>
      </w:r>
    </w:p>
    <w:p w:rsidR="003F2A0F" w:rsidRPr="007E4AE4" w:rsidRDefault="003F2A0F" w:rsidP="0058682B">
      <w:pPr>
        <w:pStyle w:val="af7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 xml:space="preserve">все вновь закупаемые СИ должны быть </w:t>
      </w:r>
      <w:proofErr w:type="spellStart"/>
      <w:r w:rsidRPr="007E4AE4">
        <w:rPr>
          <w:rFonts w:ascii="Times New Roman" w:hAnsi="Times New Roman" w:cs="Times New Roman"/>
        </w:rPr>
        <w:t>поверены</w:t>
      </w:r>
      <w:proofErr w:type="spellEnd"/>
      <w:r w:rsidRPr="007E4AE4">
        <w:rPr>
          <w:rFonts w:ascii="Times New Roman" w:hAnsi="Times New Roman" w:cs="Times New Roman"/>
        </w:rPr>
        <w:t xml:space="preserve"> при выпуске из производства и иметь действующее свидетельство о поверке (или знак поверки в паспорте СИ).</w:t>
      </w:r>
    </w:p>
    <w:p w:rsidR="003F2A0F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12C99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12C99">
        <w:rPr>
          <w:rFonts w:ascii="Times New Roman" w:hAnsi="Times New Roman" w:cs="Times New Roman"/>
          <w:b/>
        </w:rPr>
        <w:t>Требования к информационно</w:t>
      </w:r>
      <w:r w:rsidR="00384A33">
        <w:rPr>
          <w:rFonts w:ascii="Times New Roman" w:hAnsi="Times New Roman" w:cs="Times New Roman"/>
          <w:b/>
        </w:rPr>
        <w:t>-</w:t>
      </w:r>
      <w:r w:rsidRPr="00712C99">
        <w:rPr>
          <w:rFonts w:ascii="Times New Roman" w:hAnsi="Times New Roman" w:cs="Times New Roman"/>
          <w:b/>
        </w:rPr>
        <w:t xml:space="preserve">измерительным </w:t>
      </w:r>
      <w:r w:rsidRPr="00DA6AF2">
        <w:rPr>
          <w:rFonts w:ascii="Times New Roman" w:hAnsi="Times New Roman" w:cs="Times New Roman"/>
          <w:b/>
        </w:rPr>
        <w:t>системам (</w:t>
      </w:r>
      <w:r w:rsidR="00DA6AF2" w:rsidRPr="00DA6AF2">
        <w:rPr>
          <w:rStyle w:val="51"/>
          <w:rFonts w:eastAsia="Courier New"/>
          <w:b/>
          <w:color w:val="000000" w:themeColor="text1"/>
          <w:sz w:val="24"/>
          <w:szCs w:val="24"/>
        </w:rPr>
        <w:t xml:space="preserve">далее по тексту – </w:t>
      </w:r>
      <w:r w:rsidRPr="00DA6AF2">
        <w:rPr>
          <w:rFonts w:ascii="Times New Roman" w:hAnsi="Times New Roman" w:cs="Times New Roman"/>
          <w:b/>
        </w:rPr>
        <w:t>ИС):</w:t>
      </w:r>
    </w:p>
    <w:p w:rsidR="003F2A0F" w:rsidRPr="007E4AE4" w:rsidRDefault="003F2A0F" w:rsidP="0058682B">
      <w:pPr>
        <w:pStyle w:val="af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 xml:space="preserve">ИС должны быть </w:t>
      </w:r>
      <w:proofErr w:type="spellStart"/>
      <w:r w:rsidRPr="007E4AE4">
        <w:rPr>
          <w:rFonts w:ascii="Times New Roman" w:hAnsi="Times New Roman" w:cs="Times New Roman"/>
        </w:rPr>
        <w:t>метрологически</w:t>
      </w:r>
      <w:proofErr w:type="spellEnd"/>
      <w:r w:rsidRPr="007E4AE4">
        <w:rPr>
          <w:rFonts w:ascii="Times New Roman" w:hAnsi="Times New Roman" w:cs="Times New Roman"/>
        </w:rPr>
        <w:t xml:space="preserve"> обеспечены на всех этапах жизненного цикла в соответствии с требованиями ГОСТ Р 8.596;</w:t>
      </w:r>
    </w:p>
    <w:p w:rsidR="003F2A0F" w:rsidRPr="007E4AE4" w:rsidRDefault="003F2A0F" w:rsidP="0058682B">
      <w:pPr>
        <w:pStyle w:val="af7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типовые программно</w:t>
      </w:r>
      <w:r w:rsidR="00384A33">
        <w:rPr>
          <w:rFonts w:ascii="Times New Roman" w:hAnsi="Times New Roman" w:cs="Times New Roman"/>
        </w:rPr>
        <w:t>-</w:t>
      </w:r>
      <w:r w:rsidRPr="007E4AE4">
        <w:rPr>
          <w:rFonts w:ascii="Times New Roman" w:hAnsi="Times New Roman" w:cs="Times New Roman"/>
        </w:rPr>
        <w:t xml:space="preserve">технические комплексы, используемые для создания ИС, применяемых в сфере государственного регулирования обеспечения единства измерений, должны быть утвержденного типа (зарегистрированы в Федеральном информационном фонде по обеспечению единства измерений </w:t>
      </w:r>
      <w:r w:rsidR="00E63760">
        <w:rPr>
          <w:rFonts w:ascii="Times New Roman" w:hAnsi="Times New Roman" w:cs="Times New Roman"/>
        </w:rPr>
        <w:t>–</w:t>
      </w:r>
      <w:r w:rsidRPr="007E4AE4">
        <w:rPr>
          <w:rFonts w:ascii="Times New Roman" w:hAnsi="Times New Roman" w:cs="Times New Roman"/>
        </w:rPr>
        <w:t xml:space="preserve"> Сведения об утвержденных типах СИ).</w:t>
      </w:r>
    </w:p>
    <w:p w:rsidR="003F2A0F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12C99" w:rsidRDefault="003F2A0F" w:rsidP="003F2A0F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712C99">
        <w:rPr>
          <w:rFonts w:ascii="Times New Roman" w:hAnsi="Times New Roman" w:cs="Times New Roman"/>
          <w:b/>
        </w:rPr>
        <w:t>Не допускается к применению:</w:t>
      </w:r>
    </w:p>
    <w:p w:rsidR="003F2A0F" w:rsidRPr="007E4AE4" w:rsidRDefault="003F2A0F" w:rsidP="0058682B">
      <w:pPr>
        <w:pStyle w:val="af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технические средства, не являющиеся СИ;</w:t>
      </w:r>
    </w:p>
    <w:p w:rsidR="003F2A0F" w:rsidRPr="007E4AE4" w:rsidRDefault="003F2A0F" w:rsidP="0058682B">
      <w:pPr>
        <w:pStyle w:val="af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СИ неутвержденного типа (незарегистрированные в Федеральном информационном фонде по обеспечению единства измерений);</w:t>
      </w:r>
    </w:p>
    <w:p w:rsidR="003F2A0F" w:rsidRPr="007E4AE4" w:rsidRDefault="003F2A0F" w:rsidP="0058682B">
      <w:pPr>
        <w:pStyle w:val="af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СИ с истекшим сроком периодического метрологического контроля (поверки/калибровки).</w:t>
      </w:r>
    </w:p>
    <w:p w:rsidR="00384A33" w:rsidRDefault="00384A33" w:rsidP="00384A33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F2A0F" w:rsidRPr="007E4AE4" w:rsidRDefault="00384A33" w:rsidP="00384A33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3F2A0F" w:rsidRPr="007E4AE4">
        <w:rPr>
          <w:rFonts w:ascii="Times New Roman" w:hAnsi="Times New Roman" w:cs="Times New Roman"/>
        </w:rPr>
        <w:t>ероприятия по совершенствованию парка СИ, имеющих сверхнормативный износ, реализуемые в рамках программы модернизации СИ по следующим направлениям:</w:t>
      </w:r>
    </w:p>
    <w:p w:rsidR="003F2A0F" w:rsidRPr="007E4AE4" w:rsidRDefault="003F2A0F" w:rsidP="0058682B">
      <w:pPr>
        <w:pStyle w:val="af7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полная модернизация СИ в сфере государственного регулирования обеспечения единства измерений;</w:t>
      </w:r>
    </w:p>
    <w:p w:rsidR="003F2A0F" w:rsidRPr="007E4AE4" w:rsidRDefault="003F2A0F" w:rsidP="0058682B">
      <w:pPr>
        <w:pStyle w:val="af7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>модернизация СИ, используемых для мониторинга технологических параметров оборудования и сети.</w:t>
      </w:r>
    </w:p>
    <w:p w:rsidR="003F2A0F" w:rsidRPr="003F2A0F" w:rsidRDefault="003F2A0F" w:rsidP="009C6F9B">
      <w:pPr>
        <w:pStyle w:val="af7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7E4AE4">
        <w:rPr>
          <w:rFonts w:ascii="Times New Roman" w:hAnsi="Times New Roman" w:cs="Times New Roman"/>
        </w:rPr>
        <w:t xml:space="preserve">Приоритетом является замена изношенных СИ на многофункциональные СИ нового поколения (цифровые, имеющие возможность передачи сигнала на расстояние) с увеличенным </w:t>
      </w:r>
      <w:proofErr w:type="spellStart"/>
      <w:r w:rsidRPr="007E4AE4">
        <w:rPr>
          <w:rFonts w:ascii="Times New Roman" w:hAnsi="Times New Roman" w:cs="Times New Roman"/>
        </w:rPr>
        <w:t>межкалибровочным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E4AE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E4AE4">
        <w:rPr>
          <w:rFonts w:ascii="Times New Roman" w:hAnsi="Times New Roman" w:cs="Times New Roman"/>
        </w:rPr>
        <w:t>межповерочным</w:t>
      </w:r>
      <w:proofErr w:type="spellEnd"/>
      <w:r w:rsidRPr="007E4AE4">
        <w:rPr>
          <w:rFonts w:ascii="Times New Roman" w:hAnsi="Times New Roman" w:cs="Times New Roman"/>
        </w:rPr>
        <w:t xml:space="preserve"> интервалом.</w:t>
      </w:r>
    </w:p>
    <w:p w:rsidR="003F2A0F" w:rsidRDefault="003F2A0F" w:rsidP="003F2A0F">
      <w:pPr>
        <w:pStyle w:val="af7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3131C5" w:rsidRDefault="003131C5" w:rsidP="003F2A0F">
      <w:pPr>
        <w:pStyle w:val="af7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04005B" w:rsidRDefault="0004005B" w:rsidP="003F2A0F">
      <w:pPr>
        <w:pStyle w:val="af7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04005B" w:rsidRDefault="0004005B" w:rsidP="003F2A0F">
      <w:pPr>
        <w:pStyle w:val="af7"/>
        <w:tabs>
          <w:tab w:val="left" w:pos="993"/>
        </w:tabs>
        <w:ind w:left="567"/>
        <w:rPr>
          <w:rFonts w:ascii="Times New Roman" w:hAnsi="Times New Roman" w:cs="Times New Roman"/>
        </w:rPr>
      </w:pPr>
    </w:p>
    <w:bookmarkEnd w:id="4"/>
    <w:p w:rsidR="003131C5" w:rsidRDefault="0004005B" w:rsidP="0004005B">
      <w:pPr>
        <w:tabs>
          <w:tab w:val="left" w:pos="540"/>
        </w:tabs>
        <w:rPr>
          <w:rFonts w:ascii="Times New Roman" w:hAnsi="Times New Roman" w:cs="Times New Roman"/>
        </w:rPr>
      </w:pPr>
      <w:r w:rsidRPr="0004005B">
        <w:rPr>
          <w:rFonts w:ascii="Times New Roman" w:hAnsi="Times New Roman"/>
        </w:rPr>
        <w:t>Инженер по эксплуатации А</w:t>
      </w:r>
      <w:r w:rsidR="00886E2D">
        <w:rPr>
          <w:rFonts w:ascii="Times New Roman" w:hAnsi="Times New Roman"/>
        </w:rPr>
        <w:t>ИИ</w:t>
      </w:r>
      <w:r w:rsidRPr="0004005B">
        <w:rPr>
          <w:rFonts w:ascii="Times New Roman" w:hAnsi="Times New Roman"/>
        </w:rPr>
        <w:t>С</w:t>
      </w:r>
      <w:r w:rsidR="00886E2D">
        <w:rPr>
          <w:rFonts w:ascii="Times New Roman" w:hAnsi="Times New Roman"/>
        </w:rPr>
        <w:t xml:space="preserve"> </w:t>
      </w:r>
      <w:bookmarkStart w:id="6" w:name="_GoBack"/>
      <w:bookmarkEnd w:id="6"/>
      <w:r w:rsidRPr="0004005B">
        <w:rPr>
          <w:rFonts w:ascii="Times New Roman" w:hAnsi="Times New Roman"/>
        </w:rPr>
        <w:t>КУЭ                                                               Д.С. Афанасьев</w:t>
      </w:r>
    </w:p>
    <w:sectPr w:rsidR="003131C5" w:rsidSect="00B2489E">
      <w:headerReference w:type="even" r:id="rId7"/>
      <w:headerReference w:type="default" r:id="rId8"/>
      <w:type w:val="continuous"/>
      <w:pgSz w:w="11909" w:h="16834"/>
      <w:pgMar w:top="567" w:right="567" w:bottom="567" w:left="1134" w:header="56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3B8" w:rsidRDefault="00A163B8">
      <w:r>
        <w:separator/>
      </w:r>
    </w:p>
  </w:endnote>
  <w:endnote w:type="continuationSeparator" w:id="0">
    <w:p w:rsidR="00A163B8" w:rsidRDefault="00A1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3B8" w:rsidRDefault="00A163B8"/>
  </w:footnote>
  <w:footnote w:type="continuationSeparator" w:id="0">
    <w:p w:rsidR="00A163B8" w:rsidRDefault="00A163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811327064"/>
      <w:docPartObj>
        <w:docPartGallery w:val="Page Numbers (Top of Page)"/>
        <w:docPartUnique/>
      </w:docPartObj>
    </w:sdtPr>
    <w:sdtEndPr/>
    <w:sdtContent>
      <w:p w:rsidR="00DC474E" w:rsidRPr="00DC474E" w:rsidRDefault="00DC474E" w:rsidP="00DC474E">
        <w:pPr>
          <w:pStyle w:val="af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C474E">
          <w:rPr>
            <w:rFonts w:ascii="Times New Roman" w:hAnsi="Times New Roman" w:cs="Times New Roman"/>
            <w:sz w:val="20"/>
            <w:szCs w:val="20"/>
          </w:rPr>
          <w:t xml:space="preserve">Страница 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D6AB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DC474E">
          <w:rPr>
            <w:rFonts w:ascii="Times New Roman" w:hAnsi="Times New Roman" w:cs="Times New Roman"/>
            <w:sz w:val="20"/>
            <w:szCs w:val="20"/>
          </w:rPr>
          <w:t xml:space="preserve"> из 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D6AB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6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477648756"/>
      <w:docPartObj>
        <w:docPartGallery w:val="Page Numbers (Top of Page)"/>
        <w:docPartUnique/>
      </w:docPartObj>
    </w:sdtPr>
    <w:sdtEndPr/>
    <w:sdtContent>
      <w:p w:rsidR="00DC474E" w:rsidRPr="00DC474E" w:rsidRDefault="00DC474E">
        <w:pPr>
          <w:pStyle w:val="af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C474E">
          <w:rPr>
            <w:rFonts w:ascii="Times New Roman" w:hAnsi="Times New Roman" w:cs="Times New Roman"/>
            <w:sz w:val="20"/>
            <w:szCs w:val="20"/>
          </w:rPr>
          <w:t xml:space="preserve">Страница 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D6AB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DC474E">
          <w:rPr>
            <w:rFonts w:ascii="Times New Roman" w:hAnsi="Times New Roman" w:cs="Times New Roman"/>
            <w:sz w:val="20"/>
            <w:szCs w:val="20"/>
          </w:rPr>
          <w:t xml:space="preserve"> из 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D6AB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6</w:t>
        </w:r>
        <w:r w:rsidRPr="00DC474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95AAE"/>
    <w:multiLevelType w:val="hybridMultilevel"/>
    <w:tmpl w:val="3D486E3C"/>
    <w:lvl w:ilvl="0" w:tplc="A96E8F3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4224C"/>
    <w:multiLevelType w:val="hybridMultilevel"/>
    <w:tmpl w:val="E71A5396"/>
    <w:lvl w:ilvl="0" w:tplc="3D7E9FC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A95648"/>
    <w:multiLevelType w:val="hybridMultilevel"/>
    <w:tmpl w:val="9704FE82"/>
    <w:lvl w:ilvl="0" w:tplc="3D7E9FC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1432A2"/>
    <w:multiLevelType w:val="hybridMultilevel"/>
    <w:tmpl w:val="5E1253D4"/>
    <w:lvl w:ilvl="0" w:tplc="FFA0534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1582B"/>
    <w:multiLevelType w:val="hybridMultilevel"/>
    <w:tmpl w:val="00D680A2"/>
    <w:lvl w:ilvl="0" w:tplc="DDB4C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F729D"/>
    <w:multiLevelType w:val="hybridMultilevel"/>
    <w:tmpl w:val="8AEC0E88"/>
    <w:lvl w:ilvl="0" w:tplc="3D7E9FC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30C3D4F"/>
    <w:multiLevelType w:val="hybridMultilevel"/>
    <w:tmpl w:val="A0069F60"/>
    <w:lvl w:ilvl="0" w:tplc="3D7E9FC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45D2232"/>
    <w:multiLevelType w:val="hybridMultilevel"/>
    <w:tmpl w:val="3CD2C5A8"/>
    <w:lvl w:ilvl="0" w:tplc="3D7E9FC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5484D27"/>
    <w:multiLevelType w:val="hybridMultilevel"/>
    <w:tmpl w:val="305A7BCA"/>
    <w:lvl w:ilvl="0" w:tplc="3D7E9F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2B8"/>
    <w:rsid w:val="0001631D"/>
    <w:rsid w:val="0004005B"/>
    <w:rsid w:val="00115D31"/>
    <w:rsid w:val="00133118"/>
    <w:rsid w:val="0020278F"/>
    <w:rsid w:val="002C715B"/>
    <w:rsid w:val="003131C5"/>
    <w:rsid w:val="00384A33"/>
    <w:rsid w:val="003C36AF"/>
    <w:rsid w:val="003E57F9"/>
    <w:rsid w:val="003F2A0F"/>
    <w:rsid w:val="00402DAD"/>
    <w:rsid w:val="00406907"/>
    <w:rsid w:val="00456C3C"/>
    <w:rsid w:val="0046330F"/>
    <w:rsid w:val="004E79DA"/>
    <w:rsid w:val="00533005"/>
    <w:rsid w:val="0058682B"/>
    <w:rsid w:val="00590577"/>
    <w:rsid w:val="005E30D3"/>
    <w:rsid w:val="00660F26"/>
    <w:rsid w:val="006E67A0"/>
    <w:rsid w:val="00712C99"/>
    <w:rsid w:val="007E4AE4"/>
    <w:rsid w:val="00886E2D"/>
    <w:rsid w:val="008C6E32"/>
    <w:rsid w:val="008D6AB9"/>
    <w:rsid w:val="00965DE6"/>
    <w:rsid w:val="009739B1"/>
    <w:rsid w:val="009A0596"/>
    <w:rsid w:val="009A405B"/>
    <w:rsid w:val="009B5CDD"/>
    <w:rsid w:val="009C6F9B"/>
    <w:rsid w:val="009F7995"/>
    <w:rsid w:val="00A163B8"/>
    <w:rsid w:val="00A4120B"/>
    <w:rsid w:val="00AE3631"/>
    <w:rsid w:val="00B2489E"/>
    <w:rsid w:val="00B57453"/>
    <w:rsid w:val="00B74EE6"/>
    <w:rsid w:val="00BA3A4B"/>
    <w:rsid w:val="00C122B8"/>
    <w:rsid w:val="00C919E9"/>
    <w:rsid w:val="00CA08CB"/>
    <w:rsid w:val="00CB1349"/>
    <w:rsid w:val="00D70269"/>
    <w:rsid w:val="00DA2806"/>
    <w:rsid w:val="00DA6AF2"/>
    <w:rsid w:val="00DC474E"/>
    <w:rsid w:val="00DF4222"/>
    <w:rsid w:val="00E634D5"/>
    <w:rsid w:val="00E63760"/>
    <w:rsid w:val="00FF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9D1C5"/>
  <w15:docId w15:val="{40FB0832-1CA1-46E8-A85D-DC2B9494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9739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25pt">
    <w:name w:val="Основной текст (2) + 12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Оглавление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135pt">
    <w:name w:val="Колонтитул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8">
    <w:name w:val="Основной текст_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25pt">
    <w:name w:val="Колонтитул + 12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1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pt">
    <w:name w:val="Основной текст + 12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2pt0">
    <w:name w:val="Основной текст + 12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Georgia135pt">
    <w:name w:val="Основной текст + Georgia;13;5 pt;Полужирный"/>
    <w:basedOn w:val="a8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7pt">
    <w:name w:val="Основной текст + 17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/>
    </w:rPr>
  </w:style>
  <w:style w:type="character" w:customStyle="1" w:styleId="14">
    <w:name w:val="Заголовок №1_"/>
    <w:basedOn w:val="a0"/>
    <w:link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125pt">
    <w:name w:val="Заголовок №2 (2) + 12;5 pt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a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62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63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2">
    <w:name w:val="Основной текст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1">
    <w:name w:val="Основной текст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05pt">
    <w:name w:val="Основной текст + 10;5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64">
    <w:name w:val="Основной текст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11pt">
    <w:name w:val="Колонтитул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0">
    <w:name w:val="Заголовок №1 (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2125pt">
    <w:name w:val="Заголовок №1 (2) + 12;5 pt"/>
    <w:basedOn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25pt0">
    <w:name w:val="Колонтитул + 12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4">
    <w:name w:val="Заголовок №2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c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6">
    <w:name w:val="Заголовок №1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5">
    <w:name w:val="Колонтитул (4)_"/>
    <w:basedOn w:val="a0"/>
    <w:link w:val="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7">
    <w:name w:val="Колонтитул (4)"/>
    <w:basedOn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0">
    <w:name w:val="Основной текст (8)_"/>
    <w:basedOn w:val="a0"/>
    <w:link w:val="8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2">
    <w:name w:val="Основной текст (8)"/>
    <w:basedOn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83">
    <w:name w:val="Основной текст (8)"/>
    <w:basedOn w:val="a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141414"/>
      <w:sz w:val="10"/>
      <w:szCs w:val="10"/>
      <w:u w:val="none"/>
    </w:rPr>
  </w:style>
  <w:style w:type="character" w:customStyle="1" w:styleId="84">
    <w:name w:val="Основной текст (8)"/>
    <w:basedOn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85">
    <w:name w:val="Основной текст (8)"/>
    <w:basedOn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86">
    <w:name w:val="Основной текст (8)"/>
    <w:basedOn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91">
    <w:name w:val="Основной текст (9)"/>
    <w:basedOn w:val="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ru-RU"/>
    </w:rPr>
  </w:style>
  <w:style w:type="character" w:customStyle="1" w:styleId="MSReferenceSansSerif5pt">
    <w:name w:val="Основной текст + MS Reference Sans Serif;5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71">
    <w:name w:val="Основной текст7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w w:val="100"/>
      <w:position w:val="0"/>
      <w:sz w:val="25"/>
      <w:szCs w:val="25"/>
      <w:u w:val="none"/>
    </w:rPr>
  </w:style>
  <w:style w:type="character" w:customStyle="1" w:styleId="FranklinGothicHeavy27pt">
    <w:name w:val="Основной текст + Franklin Gothic Heavy;27 pt"/>
    <w:basedOn w:val="a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EBEBEB"/>
      <w:spacing w:val="0"/>
      <w:w w:val="100"/>
      <w:position w:val="0"/>
      <w:sz w:val="54"/>
      <w:szCs w:val="54"/>
      <w:u w:val="none"/>
    </w:rPr>
  </w:style>
  <w:style w:type="character" w:customStyle="1" w:styleId="25">
    <w:name w:val="Подпись к таблице (2)_"/>
    <w:basedOn w:val="a0"/>
    <w:link w:val="2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7">
    <w:name w:val="Подпись к таблице (2)"/>
    <w:basedOn w:val="2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</w:rPr>
  </w:style>
  <w:style w:type="character" w:customStyle="1" w:styleId="135pt0">
    <w:name w:val="Основной текст + 13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7"/>
      <w:szCs w:val="27"/>
      <w:u w:val="none"/>
    </w:rPr>
  </w:style>
  <w:style w:type="character" w:customStyle="1" w:styleId="100">
    <w:name w:val="Основной текст (10)_"/>
    <w:basedOn w:val="a0"/>
    <w:link w:val="10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2">
    <w:name w:val="Основной текст (10)"/>
    <w:basedOn w:val="10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d">
    <w:name w:val="Подпись к картинке_"/>
    <w:basedOn w:val="a0"/>
    <w:link w:val="ae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f">
    <w:name w:val="Подпись к картинке"/>
    <w:basedOn w:val="a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f0">
    <w:name w:val="Подпись к таблице_"/>
    <w:basedOn w:val="a0"/>
    <w:link w:val="af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f2">
    <w:name w:val="Подпись к таблице"/>
    <w:basedOn w:val="af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55pt">
    <w:name w:val="Основной текст + 25;5 pt;Полужирный;Курсив"/>
    <w:basedOn w:val="a8"/>
    <w:rPr>
      <w:rFonts w:ascii="Times New Roman" w:eastAsia="Times New Roman" w:hAnsi="Times New Roman" w:cs="Times New Roman"/>
      <w:b/>
      <w:bCs/>
      <w:i/>
      <w:iCs/>
      <w:smallCaps w:val="0"/>
      <w:strike w:val="0"/>
      <w:color w:val="FFFFFF"/>
      <w:spacing w:val="0"/>
      <w:w w:val="100"/>
      <w:position w:val="0"/>
      <w:sz w:val="51"/>
      <w:szCs w:val="51"/>
      <w:u w:val="none"/>
    </w:rPr>
  </w:style>
  <w:style w:type="character" w:customStyle="1" w:styleId="MSReferenceSansSerif7pt">
    <w:name w:val="Основной текст + MS Reference Sans Serif;7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85pt">
    <w:name w:val="Основной текст + 8;5 pt;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FFFFF"/>
      <w:spacing w:val="0"/>
      <w:w w:val="100"/>
      <w:position w:val="0"/>
      <w:sz w:val="17"/>
      <w:szCs w:val="17"/>
      <w:u w:val="none"/>
    </w:rPr>
  </w:style>
  <w:style w:type="character" w:customStyle="1" w:styleId="MSReferenceSansSerif7pt0">
    <w:name w:val="Основной текст + MS Reference Sans Serif;7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8">
    <w:name w:val="Подпись к картинке (2)_"/>
    <w:basedOn w:val="a0"/>
    <w:link w:val="2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a">
    <w:name w:val="Подпись к картинке (2)"/>
    <w:basedOn w:val="2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4">
    <w:name w:val="Подпись к картинк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f3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65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10">
    <w:name w:val="Основной текст (11)_"/>
    <w:basedOn w:val="a0"/>
    <w:link w:val="111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25pt">
    <w:name w:val="Колонтитул (4) + 12;5 pt"/>
    <w:basedOn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 + Малые прописны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66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af5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30">
    <w:name w:val="Заголовок №1 (3)_"/>
    <w:basedOn w:val="a0"/>
    <w:link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32">
    <w:name w:val="Заголовок №1 (3) + Не полужирный"/>
    <w:basedOn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22">
    <w:name w:val="Основной текст (12)_"/>
    <w:basedOn w:val="a0"/>
    <w:link w:val="1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af6">
    <w:name w:val="Основной текст + Полужирный;Курсив"/>
    <w:basedOn w:val="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33">
    <w:name w:val="Основной текст (13)_"/>
    <w:basedOn w:val="a0"/>
    <w:link w:val="134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36">
    <w:name w:val="Подпись к таблице (3)_"/>
    <w:basedOn w:val="a0"/>
    <w:link w:val="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pt1">
    <w:name w:val="Основной текст + 12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8pt">
    <w:name w:val="Основной текст + 8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CordiaUPC195pt">
    <w:name w:val="Основной текст + CordiaUPC;19;5 pt"/>
    <w:basedOn w:val="a8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lang w:val="ru-RU"/>
    </w:rPr>
  </w:style>
  <w:style w:type="character" w:customStyle="1" w:styleId="4125pt0">
    <w:name w:val="Колонтитул (4) + 12;5 pt"/>
    <w:basedOn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35pt1">
    <w:name w:val="Основной текст + 13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pt">
    <w:name w:val="Основной текст + 10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8">
    <w:name w:val="Колонтитул (4)"/>
    <w:basedOn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2125pt">
    <w:name w:val="Заголовок №4 (2) + 12;5 pt;Полужирный"/>
    <w:basedOn w:val="4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ind w:hanging="182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link w:val="11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8">
    <w:name w:val="Основной текст8"/>
    <w:basedOn w:val="a"/>
    <w:link w:val="a8"/>
    <w:pPr>
      <w:shd w:val="clear" w:color="auto" w:fill="FFFFFF"/>
      <w:spacing w:line="298" w:lineRule="exact"/>
      <w:ind w:hanging="182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2" w:lineRule="exact"/>
      <w:ind w:hanging="720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5">
    <w:name w:val="Заголовок №1"/>
    <w:basedOn w:val="a"/>
    <w:link w:val="14"/>
    <w:pPr>
      <w:shd w:val="clear" w:color="auto" w:fill="FFFFFF"/>
      <w:spacing w:line="600" w:lineRule="exact"/>
      <w:ind w:hanging="740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600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line="0" w:lineRule="atLeast"/>
      <w:ind w:hanging="76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line="302" w:lineRule="exact"/>
      <w:ind w:hanging="780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line="0" w:lineRule="atLeast"/>
      <w:ind w:hanging="780"/>
      <w:jc w:val="both"/>
      <w:outlineLvl w:val="3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6">
    <w:name w:val="Колонтитул (4)"/>
    <w:basedOn w:val="a"/>
    <w:link w:val="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1">
    <w:name w:val="Основной текст (8)"/>
    <w:basedOn w:val="a"/>
    <w:link w:val="80"/>
    <w:pPr>
      <w:shd w:val="clear" w:color="auto" w:fill="FFFFFF"/>
      <w:spacing w:line="0" w:lineRule="atLeast"/>
      <w:jc w:val="center"/>
    </w:pPr>
    <w:rPr>
      <w:rFonts w:ascii="MS Reference Sans Serif" w:eastAsia="MS Reference Sans Serif" w:hAnsi="MS Reference Sans Serif" w:cs="MS Reference Sans Serif"/>
      <w:sz w:val="10"/>
      <w:szCs w:val="1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25" w:lineRule="exact"/>
      <w:jc w:val="center"/>
    </w:pPr>
    <w:rPr>
      <w:rFonts w:ascii="MS Reference Sans Serif" w:eastAsia="MS Reference Sans Serif" w:hAnsi="MS Reference Sans Serif" w:cs="MS Reference Sans Serif"/>
      <w:sz w:val="9"/>
      <w:szCs w:val="9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0"/>
      <w:szCs w:val="1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ae">
    <w:name w:val="Подпись к картинке"/>
    <w:basedOn w:val="a"/>
    <w:link w:val="ad"/>
    <w:pPr>
      <w:shd w:val="clear" w:color="auto" w:fill="FFFFFF"/>
      <w:spacing w:line="187" w:lineRule="exact"/>
      <w:jc w:val="center"/>
    </w:pPr>
    <w:rPr>
      <w:rFonts w:ascii="MS Reference Sans Serif" w:eastAsia="MS Reference Sans Serif" w:hAnsi="MS Reference Sans Serif" w:cs="MS Reference Sans Serif"/>
      <w:sz w:val="14"/>
      <w:szCs w:val="14"/>
    </w:rPr>
  </w:style>
  <w:style w:type="paragraph" w:customStyle="1" w:styleId="af1">
    <w:name w:val="Подпись к таблице"/>
    <w:basedOn w:val="a"/>
    <w:link w:val="af0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4"/>
      <w:szCs w:val="14"/>
    </w:rPr>
  </w:style>
  <w:style w:type="paragraph" w:customStyle="1" w:styleId="29">
    <w:name w:val="Подпись к картинке (2)"/>
    <w:basedOn w:val="a"/>
    <w:link w:val="28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8"/>
      <w:szCs w:val="18"/>
    </w:rPr>
  </w:style>
  <w:style w:type="paragraph" w:customStyle="1" w:styleId="35">
    <w:name w:val="Подпись к картинк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Gungsuh" w:eastAsia="Gungsuh" w:hAnsi="Gungsuh" w:cs="Gungsuh"/>
      <w:sz w:val="8"/>
      <w:szCs w:val="8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line="0" w:lineRule="atLeast"/>
      <w:ind w:hanging="800"/>
      <w:jc w:val="both"/>
      <w:outlineLvl w:val="4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31">
    <w:name w:val="Заголовок №1 (3)"/>
    <w:basedOn w:val="a"/>
    <w:link w:val="13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23">
    <w:name w:val="Основной текст (12)"/>
    <w:basedOn w:val="a"/>
    <w:link w:val="122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-10"/>
      <w:sz w:val="8"/>
      <w:szCs w:val="8"/>
    </w:rPr>
  </w:style>
  <w:style w:type="paragraph" w:customStyle="1" w:styleId="134">
    <w:name w:val="Основной текст (13)"/>
    <w:basedOn w:val="a"/>
    <w:link w:val="133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37">
    <w:name w:val="Подпись к таблице (3)"/>
    <w:basedOn w:val="a"/>
    <w:link w:val="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line="0" w:lineRule="atLeast"/>
      <w:ind w:hanging="720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paragraph" w:styleId="2b">
    <w:name w:val="toc 2"/>
    <w:basedOn w:val="a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38">
    <w:name w:val="toc 3"/>
    <w:basedOn w:val="a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49">
    <w:name w:val="toc 4"/>
    <w:basedOn w:val="a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55">
    <w:name w:val="toc 5"/>
    <w:basedOn w:val="a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9739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No Spacing"/>
    <w:uiPriority w:val="1"/>
    <w:qFormat/>
    <w:rsid w:val="009739B1"/>
    <w:rPr>
      <w:color w:val="000000"/>
    </w:rPr>
  </w:style>
  <w:style w:type="table" w:styleId="af8">
    <w:name w:val="Table Grid"/>
    <w:basedOn w:val="a1"/>
    <w:uiPriority w:val="59"/>
    <w:rsid w:val="009F7995"/>
    <w:pPr>
      <w:widowControl/>
    </w:pPr>
    <w:rPr>
      <w:rFonts w:ascii="Times New Roman" w:eastAsia="Times New Roman" w:hAnsi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"/>
    <w:link w:val="afa"/>
    <w:uiPriority w:val="99"/>
    <w:unhideWhenUsed/>
    <w:rsid w:val="00DC4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DC474E"/>
    <w:rPr>
      <w:color w:val="000000"/>
    </w:rPr>
  </w:style>
  <w:style w:type="paragraph" w:styleId="afb">
    <w:name w:val="footer"/>
    <w:basedOn w:val="a"/>
    <w:link w:val="afc"/>
    <w:uiPriority w:val="99"/>
    <w:unhideWhenUsed/>
    <w:rsid w:val="00DC474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DC474E"/>
    <w:rPr>
      <w:color w:val="000000"/>
    </w:rPr>
  </w:style>
  <w:style w:type="paragraph" w:styleId="afd">
    <w:name w:val="Balloon Text"/>
    <w:basedOn w:val="a"/>
    <w:link w:val="afe"/>
    <w:uiPriority w:val="99"/>
    <w:semiHidden/>
    <w:unhideWhenUsed/>
    <w:rsid w:val="008D6AB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8D6A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2915</Words>
  <Characters>16618</Characters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технической политике ОАО "ФСК ЕЭС"</vt:lpstr>
    </vt:vector>
  </TitlesOfParts>
  <Company/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2015-04-21T12:27:00Z</cp:lastPrinted>
  <dcterms:created xsi:type="dcterms:W3CDTF">2024-10-30T14:05:00Z</dcterms:created>
  <dcterms:modified xsi:type="dcterms:W3CDTF">2024-10-30T14:05:00Z</dcterms:modified>
</cp:coreProperties>
</file>