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A8460" w14:textId="69029DF5" w:rsidR="009435B0" w:rsidRPr="00BC519D" w:rsidRDefault="00BD26D2" w:rsidP="00BD26D2">
      <w:pPr>
        <w:rPr>
          <w:rFonts w:cstheme="minorHAnsi"/>
          <w:color w:val="333333"/>
          <w:sz w:val="44"/>
          <w:szCs w:val="44"/>
          <w:shd w:val="clear" w:color="auto" w:fill="FFFFFF"/>
        </w:rPr>
      </w:pPr>
      <w:r w:rsidRPr="00BC519D">
        <w:rPr>
          <w:rStyle w:val="a4"/>
          <w:rFonts w:cstheme="minorHAnsi"/>
          <w:color w:val="333333"/>
          <w:sz w:val="44"/>
          <w:szCs w:val="44"/>
          <w:shd w:val="clear" w:color="auto" w:fill="FFFFFF"/>
        </w:rPr>
        <w:t>Энергетический ресурс (ЭР)</w:t>
      </w:r>
      <w:r w:rsidRPr="00BC519D">
        <w:rPr>
          <w:rFonts w:cstheme="minorHAnsi"/>
          <w:color w:val="333333"/>
          <w:sz w:val="44"/>
          <w:szCs w:val="44"/>
          <w:shd w:val="clear" w:color="auto" w:fill="FFFFFF"/>
        </w:rPr>
        <w:t> — это носитель энергии, энергия которого используется или может быть использована при осуществлении хозяйственной или иной деятельности, а также вид энергии (атомная, тепловая, электрическая, электромагнитная или другой вид энергии).</w:t>
      </w:r>
    </w:p>
    <w:p w14:paraId="2472B02C" w14:textId="4BFAFAC2" w:rsidR="00BD26D2" w:rsidRDefault="00BD26D2" w:rsidP="00BD26D2">
      <w:pPr>
        <w:rPr>
          <w:rFonts w:cstheme="minorHAnsi"/>
          <w:color w:val="333333"/>
          <w:sz w:val="44"/>
          <w:szCs w:val="44"/>
          <w:shd w:val="clear" w:color="auto" w:fill="FFFFFF"/>
        </w:rPr>
      </w:pPr>
      <w:r w:rsidRPr="00BC519D">
        <w:rPr>
          <w:rFonts w:cstheme="minorHAnsi"/>
          <w:color w:val="333333"/>
          <w:sz w:val="44"/>
          <w:szCs w:val="44"/>
          <w:shd w:val="clear" w:color="auto" w:fill="FFFFFF"/>
        </w:rPr>
        <w:t xml:space="preserve">В соответствии со статьей 13 Федерального закона от 23 ноября 2009 года № 261-ФЗ «Об энергосбережении и повышении энергетической эффективности и о внесении изменений в отдельные законодательные акты Российской Федерации» производимые, передаваемые, потребляемые энергетические ресурсы подлежат обязательному учету с применением приборов учета используемых энергетических ресурсов. Расчеты </w:t>
      </w:r>
      <w:r w:rsidR="00BC519D">
        <w:rPr>
          <w:rFonts w:cstheme="minorHAnsi"/>
          <w:color w:val="333333"/>
          <w:sz w:val="44"/>
          <w:szCs w:val="44"/>
          <w:shd w:val="clear" w:color="auto" w:fill="FFFFFF"/>
        </w:rPr>
        <w:t xml:space="preserve">за </w:t>
      </w:r>
      <w:r w:rsidRPr="00BC519D">
        <w:rPr>
          <w:rFonts w:cstheme="minorHAnsi"/>
          <w:color w:val="333333"/>
          <w:sz w:val="44"/>
          <w:szCs w:val="44"/>
          <w:shd w:val="clear" w:color="auto" w:fill="FFFFFF"/>
        </w:rPr>
        <w:t>энергетические ресур</w:t>
      </w:r>
      <w:r w:rsidR="00BC519D">
        <w:rPr>
          <w:rFonts w:cstheme="minorHAnsi"/>
          <w:color w:val="333333"/>
          <w:sz w:val="44"/>
          <w:szCs w:val="44"/>
          <w:shd w:val="clear" w:color="auto" w:fill="FFFFFF"/>
        </w:rPr>
        <w:t>с</w:t>
      </w:r>
      <w:r w:rsidRPr="00BC519D">
        <w:rPr>
          <w:rFonts w:cstheme="minorHAnsi"/>
          <w:color w:val="333333"/>
          <w:sz w:val="44"/>
          <w:szCs w:val="44"/>
          <w:shd w:val="clear" w:color="auto" w:fill="FFFFFF"/>
        </w:rPr>
        <w:t>ы должны осуществля</w:t>
      </w:r>
      <w:r w:rsidR="00BC519D">
        <w:rPr>
          <w:rFonts w:cstheme="minorHAnsi"/>
          <w:color w:val="333333"/>
          <w:sz w:val="44"/>
          <w:szCs w:val="44"/>
          <w:shd w:val="clear" w:color="auto" w:fill="FFFFFF"/>
        </w:rPr>
        <w:t>ю</w:t>
      </w:r>
      <w:r w:rsidRPr="00BC519D">
        <w:rPr>
          <w:rFonts w:cstheme="minorHAnsi"/>
          <w:color w:val="333333"/>
          <w:sz w:val="44"/>
          <w:szCs w:val="44"/>
          <w:shd w:val="clear" w:color="auto" w:fill="FFFFFF"/>
        </w:rPr>
        <w:t>тся на основании данных о количественном значении энергетических ресурсов,</w:t>
      </w:r>
      <w:r w:rsidR="00BC519D">
        <w:rPr>
          <w:rFonts w:cstheme="minorHAnsi"/>
          <w:color w:val="333333"/>
          <w:sz w:val="44"/>
          <w:szCs w:val="44"/>
          <w:shd w:val="clear" w:color="auto" w:fill="FFFFFF"/>
        </w:rPr>
        <w:t xml:space="preserve"> </w:t>
      </w:r>
      <w:r w:rsidR="00BC519D" w:rsidRPr="00BC519D">
        <w:rPr>
          <w:rFonts w:cstheme="minorHAnsi"/>
          <w:color w:val="333333"/>
          <w:sz w:val="44"/>
          <w:szCs w:val="44"/>
          <w:shd w:val="clear" w:color="auto" w:fill="FFFFFF"/>
        </w:rPr>
        <w:t>произведенных,</w:t>
      </w:r>
      <w:r w:rsidR="00BC519D">
        <w:rPr>
          <w:rFonts w:cstheme="minorHAnsi"/>
          <w:color w:val="333333"/>
          <w:sz w:val="44"/>
          <w:szCs w:val="44"/>
          <w:shd w:val="clear" w:color="auto" w:fill="FFFFFF"/>
        </w:rPr>
        <w:t xml:space="preserve"> </w:t>
      </w:r>
      <w:r w:rsidR="00BC519D" w:rsidRPr="00BC519D">
        <w:rPr>
          <w:rFonts w:cstheme="minorHAnsi"/>
          <w:color w:val="333333"/>
          <w:sz w:val="44"/>
          <w:szCs w:val="44"/>
          <w:shd w:val="clear" w:color="auto" w:fill="FFFFFF"/>
        </w:rPr>
        <w:t>переданных, потребленных, определенных при помощи приборов учета используемых энергетических ресурсов. Расчетным учетом электроэнергии называется учет выраб</w:t>
      </w:r>
      <w:r w:rsidR="00BC519D">
        <w:rPr>
          <w:rFonts w:cstheme="minorHAnsi"/>
          <w:color w:val="333333"/>
          <w:sz w:val="44"/>
          <w:szCs w:val="44"/>
          <w:shd w:val="clear" w:color="auto" w:fill="FFFFFF"/>
        </w:rPr>
        <w:t>о</w:t>
      </w:r>
      <w:r w:rsidR="00BC519D" w:rsidRPr="00BC519D">
        <w:rPr>
          <w:rFonts w:cstheme="minorHAnsi"/>
          <w:color w:val="333333"/>
          <w:sz w:val="44"/>
          <w:szCs w:val="44"/>
          <w:shd w:val="clear" w:color="auto" w:fill="FFFFFF"/>
        </w:rPr>
        <w:t>т</w:t>
      </w:r>
      <w:r w:rsidR="00BC519D">
        <w:rPr>
          <w:rFonts w:cstheme="minorHAnsi"/>
          <w:color w:val="333333"/>
          <w:sz w:val="44"/>
          <w:szCs w:val="44"/>
          <w:shd w:val="clear" w:color="auto" w:fill="FFFFFF"/>
        </w:rPr>
        <w:t>анн</w:t>
      </w:r>
      <w:r w:rsidR="00BC519D" w:rsidRPr="00BC519D">
        <w:rPr>
          <w:rFonts w:cstheme="minorHAnsi"/>
          <w:color w:val="333333"/>
          <w:sz w:val="44"/>
          <w:szCs w:val="44"/>
          <w:shd w:val="clear" w:color="auto" w:fill="FFFFFF"/>
        </w:rPr>
        <w:t>ой, а также отпущен</w:t>
      </w:r>
      <w:r w:rsidR="00BC519D">
        <w:rPr>
          <w:rFonts w:cstheme="minorHAnsi"/>
          <w:color w:val="333333"/>
          <w:sz w:val="44"/>
          <w:szCs w:val="44"/>
          <w:shd w:val="clear" w:color="auto" w:fill="FFFFFF"/>
        </w:rPr>
        <w:t>н</w:t>
      </w:r>
      <w:r w:rsidR="00BC519D" w:rsidRPr="00BC519D">
        <w:rPr>
          <w:rFonts w:cstheme="minorHAnsi"/>
          <w:color w:val="333333"/>
          <w:sz w:val="44"/>
          <w:szCs w:val="44"/>
          <w:shd w:val="clear" w:color="auto" w:fill="FFFFFF"/>
        </w:rPr>
        <w:t xml:space="preserve">ой потребителям электроэнергии для </w:t>
      </w:r>
      <w:r w:rsidR="00BC519D" w:rsidRPr="00BC519D">
        <w:rPr>
          <w:rFonts w:cstheme="minorHAnsi"/>
          <w:color w:val="333333"/>
          <w:sz w:val="44"/>
          <w:szCs w:val="44"/>
          <w:shd w:val="clear" w:color="auto" w:fill="FFFFFF"/>
        </w:rPr>
        <w:lastRenderedPageBreak/>
        <w:t>денежного расчета за нее. Счетчики, устанавливаемые для расчетного учета, называются расчетными счетчиками</w:t>
      </w:r>
      <w:r w:rsidR="00BC519D">
        <w:rPr>
          <w:rFonts w:cstheme="minorHAnsi"/>
          <w:color w:val="333333"/>
          <w:sz w:val="44"/>
          <w:szCs w:val="44"/>
          <w:shd w:val="clear" w:color="auto" w:fill="FFFFFF"/>
        </w:rPr>
        <w:t>.</w:t>
      </w:r>
    </w:p>
    <w:p w14:paraId="2C312400" w14:textId="4B67F85F" w:rsidR="00BC519D" w:rsidRDefault="00BC519D" w:rsidP="00BD26D2">
      <w:pPr>
        <w:rPr>
          <w:rFonts w:cstheme="minorHAnsi"/>
          <w:color w:val="333333"/>
          <w:sz w:val="44"/>
          <w:szCs w:val="44"/>
          <w:shd w:val="clear" w:color="auto" w:fill="FFFFFF"/>
        </w:rPr>
      </w:pPr>
      <w:r>
        <w:rPr>
          <w:rFonts w:cstheme="minorHAnsi"/>
          <w:color w:val="333333"/>
          <w:sz w:val="44"/>
          <w:szCs w:val="44"/>
          <w:shd w:val="clear" w:color="auto" w:fill="FFFFFF"/>
        </w:rPr>
        <w:t>Для учета электрической энергии используются приборы учета, типы которых утверждены федеральным органом исполнительной власти по техническому регулированию и метрологии и внесены государственный реестр средств измерений. Классы точности приборов учета определяются в соответствии с техническими регламентами и иными обязательными требованиями, установленными для классификации средств из</w:t>
      </w:r>
      <w:r w:rsidR="006122CD">
        <w:rPr>
          <w:rFonts w:cstheme="minorHAnsi"/>
          <w:color w:val="333333"/>
          <w:sz w:val="44"/>
          <w:szCs w:val="44"/>
          <w:shd w:val="clear" w:color="auto" w:fill="FFFFFF"/>
        </w:rPr>
        <w:t>м</w:t>
      </w:r>
      <w:r>
        <w:rPr>
          <w:rFonts w:cstheme="minorHAnsi"/>
          <w:color w:val="333333"/>
          <w:sz w:val="44"/>
          <w:szCs w:val="44"/>
          <w:shd w:val="clear" w:color="auto" w:fill="FFFFFF"/>
        </w:rPr>
        <w:t>ерений.</w:t>
      </w:r>
    </w:p>
    <w:p w14:paraId="6EB04341" w14:textId="0FD9E5E2" w:rsidR="006122CD" w:rsidRDefault="006122CD" w:rsidP="00BD26D2">
      <w:pPr>
        <w:rPr>
          <w:rFonts w:cstheme="minorHAnsi"/>
          <w:color w:val="333333"/>
          <w:sz w:val="44"/>
          <w:szCs w:val="44"/>
          <w:shd w:val="clear" w:color="auto" w:fill="FFFFFF"/>
        </w:rPr>
      </w:pPr>
      <w:r>
        <w:rPr>
          <w:rFonts w:cstheme="minorHAnsi"/>
          <w:color w:val="333333"/>
          <w:sz w:val="44"/>
          <w:szCs w:val="44"/>
          <w:shd w:val="clear" w:color="auto" w:fill="FFFFFF"/>
        </w:rPr>
        <w:t xml:space="preserve">Коммерческий учет электрической энергии (мощности)- процесс измерения количества электрической энергии и определения объема мощности, сбора, хранения, обработки, передачи результатов этих измерений и формирования, в том числе расчетным путем0 данных о количестве произведенной и потребленной электрической энергии (мощности) для целей взаиморасчетов за поставленные электрическую энергию и </w:t>
      </w:r>
      <w:r>
        <w:rPr>
          <w:rFonts w:cstheme="minorHAnsi"/>
          <w:color w:val="333333"/>
          <w:sz w:val="44"/>
          <w:szCs w:val="44"/>
          <w:shd w:val="clear" w:color="auto" w:fill="FFFFFF"/>
        </w:rPr>
        <w:lastRenderedPageBreak/>
        <w:t>мощность, а так же за связанные с указанными поставками услуги.</w:t>
      </w:r>
    </w:p>
    <w:p w14:paraId="3554C37A" w14:textId="475AC05D" w:rsidR="006122CD" w:rsidRDefault="006122CD" w:rsidP="00BD26D2">
      <w:pPr>
        <w:rPr>
          <w:rFonts w:cstheme="minorHAnsi"/>
          <w:color w:val="333333"/>
          <w:sz w:val="44"/>
          <w:szCs w:val="44"/>
          <w:shd w:val="clear" w:color="auto" w:fill="FFFFFF"/>
        </w:rPr>
      </w:pPr>
      <w:r>
        <w:rPr>
          <w:rFonts w:cstheme="minorHAnsi"/>
          <w:color w:val="333333"/>
          <w:sz w:val="44"/>
          <w:szCs w:val="44"/>
          <w:shd w:val="clear" w:color="auto" w:fill="FFFFFF"/>
        </w:rPr>
        <w:t>В соответствии с разделом Х Постановления Правительства Российской Федерации от 4 мая 2012 года № 442 «О функционировании розничных рынков электрической энергии, полном и (или) частичном ограничении режима потребления электрической энергии» гарантирующие поста</w:t>
      </w:r>
      <w:r w:rsidR="002B7A9D">
        <w:rPr>
          <w:rFonts w:cstheme="minorHAnsi"/>
          <w:color w:val="333333"/>
          <w:sz w:val="44"/>
          <w:szCs w:val="44"/>
          <w:shd w:val="clear" w:color="auto" w:fill="FFFFFF"/>
        </w:rPr>
        <w:t>вщики и сетевые организации обеспечивают коммерческий учет электрической энергии (мощности) на розничных рынках, в том числе путем приобретения, установки, замены допуска в эксплуатацию приборов учета электрической энергии и (или) иного оборудования, а также нематериальных активов, которые необходимы для обеспечения коммерческого учета электрической энергии (мощности), и последующей их эксплуатации, в том числе посредством интеллектуальных систем учета электрической энергии (мощности):</w:t>
      </w:r>
    </w:p>
    <w:p w14:paraId="7F928008" w14:textId="4364F19E" w:rsidR="00CD486A" w:rsidRDefault="00CD486A" w:rsidP="00C61489">
      <w:pPr>
        <w:pStyle w:val="a3"/>
        <w:numPr>
          <w:ilvl w:val="0"/>
          <w:numId w:val="2"/>
        </w:numPr>
        <w:rPr>
          <w:rFonts w:cstheme="minorHAnsi"/>
          <w:color w:val="333333"/>
          <w:sz w:val="44"/>
          <w:szCs w:val="44"/>
          <w:shd w:val="clear" w:color="auto" w:fill="FFFFFF"/>
        </w:rPr>
      </w:pPr>
      <w:r w:rsidRPr="00C61489">
        <w:rPr>
          <w:rFonts w:cstheme="minorHAnsi"/>
          <w:color w:val="333333"/>
          <w:sz w:val="44"/>
          <w:szCs w:val="44"/>
          <w:shd w:val="clear" w:color="auto" w:fill="FFFFFF"/>
        </w:rPr>
        <w:t xml:space="preserve">При отсутствии, выходе из строя, утрате, истечении срока эксплуатации или истечении интервала между поверками </w:t>
      </w:r>
      <w:r w:rsidRPr="00C61489">
        <w:rPr>
          <w:rFonts w:cstheme="minorHAnsi"/>
          <w:color w:val="333333"/>
          <w:sz w:val="44"/>
          <w:szCs w:val="44"/>
          <w:shd w:val="clear" w:color="auto" w:fill="FFFFFF"/>
        </w:rPr>
        <w:lastRenderedPageBreak/>
        <w:t>приборов учета электрической энергии и (или) иного оборудования, которые используются для коммерческого учета электрической энергии (мощности), в том числе не принадлежащих сетевой организации (гарантирующему поставщику);</w:t>
      </w:r>
    </w:p>
    <w:p w14:paraId="12960FBF" w14:textId="5916E283" w:rsidR="00C61489" w:rsidRDefault="00C61489" w:rsidP="00C61489">
      <w:pPr>
        <w:pStyle w:val="a3"/>
        <w:numPr>
          <w:ilvl w:val="0"/>
          <w:numId w:val="2"/>
        </w:numPr>
        <w:rPr>
          <w:rFonts w:cstheme="minorHAnsi"/>
          <w:color w:val="333333"/>
          <w:sz w:val="44"/>
          <w:szCs w:val="44"/>
          <w:shd w:val="clear" w:color="auto" w:fill="FFFFFF"/>
        </w:rPr>
      </w:pPr>
      <w:r>
        <w:rPr>
          <w:rFonts w:cstheme="minorHAnsi"/>
          <w:color w:val="333333"/>
          <w:sz w:val="44"/>
          <w:szCs w:val="44"/>
          <w:shd w:val="clear" w:color="auto" w:fill="FFFFFF"/>
        </w:rPr>
        <w:t>В процессе технологического присоединения энергопринимающих устройств (объектов электросетевого хозяйства, объектов по производству электрической энергии (мощности)</w:t>
      </w:r>
    </w:p>
    <w:p w14:paraId="5DFCA2FD" w14:textId="1579967E" w:rsidR="00C61489" w:rsidRDefault="00C61489" w:rsidP="00C61489">
      <w:pPr>
        <w:pStyle w:val="a3"/>
        <w:rPr>
          <w:rFonts w:cstheme="minorHAnsi"/>
          <w:color w:val="333333"/>
          <w:sz w:val="44"/>
          <w:szCs w:val="44"/>
          <w:shd w:val="clear" w:color="auto" w:fill="FFFFFF"/>
        </w:rPr>
      </w:pPr>
      <w:r>
        <w:rPr>
          <w:rFonts w:cstheme="minorHAnsi"/>
          <w:color w:val="333333"/>
          <w:sz w:val="44"/>
          <w:szCs w:val="44"/>
          <w:shd w:val="clear" w:color="auto" w:fill="FFFFFF"/>
        </w:rPr>
        <w:t>Сетевые организации осуществляют установку либо замену прибора учёта в случаях, несвязанных с технологическим присоединением энергопринимающих устройств потребителей электрической энергии, в срок</w:t>
      </w:r>
    </w:p>
    <w:p w14:paraId="748F1C76" w14:textId="208AC3A2" w:rsidR="00C61489" w:rsidRDefault="00C61489" w:rsidP="00C61489">
      <w:pPr>
        <w:pStyle w:val="a3"/>
        <w:numPr>
          <w:ilvl w:val="0"/>
          <w:numId w:val="3"/>
        </w:numPr>
        <w:rPr>
          <w:rFonts w:cstheme="minorHAnsi"/>
          <w:color w:val="333333"/>
          <w:sz w:val="44"/>
          <w:szCs w:val="44"/>
          <w:shd w:val="clear" w:color="auto" w:fill="FFFFFF"/>
        </w:rPr>
      </w:pPr>
      <w:r>
        <w:rPr>
          <w:rFonts w:cstheme="minorHAnsi"/>
          <w:color w:val="333333"/>
          <w:sz w:val="44"/>
          <w:szCs w:val="44"/>
          <w:shd w:val="clear" w:color="auto" w:fill="FFFFFF"/>
        </w:rPr>
        <w:t>До 31 декабря 2023 г., если прибор учёта отсутствовал или вышел из строя, истёк срок его эксплуатации по состоянию на 1 апреля 2020 г. или ранее</w:t>
      </w:r>
    </w:p>
    <w:p w14:paraId="067FE929" w14:textId="5D877022" w:rsidR="00C61489" w:rsidRDefault="00C61489" w:rsidP="00C61489">
      <w:pPr>
        <w:pStyle w:val="a3"/>
        <w:numPr>
          <w:ilvl w:val="0"/>
          <w:numId w:val="3"/>
        </w:numPr>
        <w:rPr>
          <w:rFonts w:cstheme="minorHAnsi"/>
          <w:color w:val="333333"/>
          <w:sz w:val="44"/>
          <w:szCs w:val="44"/>
          <w:shd w:val="clear" w:color="auto" w:fill="FFFFFF"/>
        </w:rPr>
      </w:pPr>
      <w:r>
        <w:rPr>
          <w:rFonts w:cstheme="minorHAnsi"/>
          <w:color w:val="333333"/>
          <w:sz w:val="44"/>
          <w:szCs w:val="44"/>
          <w:shd w:val="clear" w:color="auto" w:fill="FFFFFF"/>
        </w:rPr>
        <w:t>Не позднее 6 месяцев в иных случаях</w:t>
      </w:r>
    </w:p>
    <w:p w14:paraId="2FE5ABEF" w14:textId="77777777" w:rsidR="00C61489" w:rsidRDefault="00C61489" w:rsidP="00C61489">
      <w:pPr>
        <w:pStyle w:val="a3"/>
        <w:ind w:left="1080"/>
        <w:rPr>
          <w:rFonts w:cstheme="minorHAnsi"/>
          <w:color w:val="333333"/>
          <w:sz w:val="44"/>
          <w:szCs w:val="44"/>
          <w:shd w:val="clear" w:color="auto" w:fill="FFFFFF"/>
        </w:rPr>
      </w:pPr>
    </w:p>
    <w:p w14:paraId="7ABC5097" w14:textId="7ED88087" w:rsidR="00C61489" w:rsidRDefault="00C61489" w:rsidP="00C61489">
      <w:pPr>
        <w:pStyle w:val="a3"/>
        <w:ind w:left="1080"/>
        <w:rPr>
          <w:rFonts w:cstheme="minorHAnsi"/>
          <w:color w:val="333333"/>
          <w:sz w:val="44"/>
          <w:szCs w:val="44"/>
          <w:shd w:val="clear" w:color="auto" w:fill="FFFFFF"/>
        </w:rPr>
      </w:pPr>
      <w:r>
        <w:rPr>
          <w:rFonts w:cstheme="minorHAnsi"/>
          <w:color w:val="333333"/>
          <w:sz w:val="44"/>
          <w:szCs w:val="44"/>
          <w:shd w:val="clear" w:color="auto" w:fill="FFFFFF"/>
        </w:rPr>
        <w:t xml:space="preserve">с даты истечения интервала между поверками или срока эксплуатации </w:t>
      </w:r>
      <w:r>
        <w:rPr>
          <w:rFonts w:cstheme="minorHAnsi"/>
          <w:color w:val="333333"/>
          <w:sz w:val="44"/>
          <w:szCs w:val="44"/>
          <w:shd w:val="clear" w:color="auto" w:fill="FFFFFF"/>
        </w:rPr>
        <w:lastRenderedPageBreak/>
        <w:t>прибора учёта, если соответствующая дата (срок) установлена в договоре энергоснабжения (оказания услуг по передаче электрической энергии);</w:t>
      </w:r>
    </w:p>
    <w:p w14:paraId="7ED3FA19" w14:textId="0B4E2C56" w:rsidR="00C61489" w:rsidRDefault="00C61489" w:rsidP="00C61489">
      <w:pPr>
        <w:pStyle w:val="a3"/>
        <w:ind w:left="1080"/>
        <w:rPr>
          <w:rFonts w:cstheme="minorHAnsi"/>
          <w:color w:val="333333"/>
          <w:sz w:val="44"/>
          <w:szCs w:val="44"/>
          <w:shd w:val="clear" w:color="auto" w:fill="FFFFFF"/>
        </w:rPr>
      </w:pPr>
      <w:r>
        <w:rPr>
          <w:rFonts w:cstheme="minorHAnsi"/>
          <w:color w:val="333333"/>
          <w:sz w:val="44"/>
          <w:szCs w:val="44"/>
          <w:shd w:val="clear" w:color="auto" w:fill="FFFFFF"/>
        </w:rPr>
        <w:t xml:space="preserve">с даты получения обращения потребителя (производителя) электрической энергии, сетевой организации или иного владельца объектов электросетевого хозяйства об истечении интервала между поверками, срока эксплуатации, а также утрате, о выходе прибора учёта, </w:t>
      </w:r>
      <w:r w:rsidR="0097103C">
        <w:rPr>
          <w:rFonts w:cstheme="minorHAnsi"/>
          <w:color w:val="333333"/>
          <w:sz w:val="44"/>
          <w:szCs w:val="44"/>
          <w:shd w:val="clear" w:color="auto" w:fill="FFFFFF"/>
        </w:rPr>
        <w:t>из строя и (или его неисправности).</w:t>
      </w:r>
    </w:p>
    <w:p w14:paraId="028314FA" w14:textId="77777777" w:rsidR="0097103C" w:rsidRDefault="0097103C" w:rsidP="00C61489">
      <w:pPr>
        <w:pStyle w:val="a3"/>
        <w:ind w:left="1080"/>
        <w:rPr>
          <w:rFonts w:cstheme="minorHAnsi"/>
          <w:color w:val="333333"/>
          <w:sz w:val="44"/>
          <w:szCs w:val="44"/>
          <w:shd w:val="clear" w:color="auto" w:fill="FFFFFF"/>
        </w:rPr>
      </w:pPr>
      <w:r>
        <w:rPr>
          <w:rFonts w:cstheme="minorHAnsi"/>
          <w:color w:val="333333"/>
          <w:sz w:val="44"/>
          <w:szCs w:val="44"/>
          <w:shd w:val="clear" w:color="auto" w:fill="FFFFFF"/>
        </w:rPr>
        <w:t>с даты выявления истечения срока поверки, срока эксплуатации, неисправности прибора учёта в ходе проведения его проверки в установленном настоящим документом порядке;</w:t>
      </w:r>
    </w:p>
    <w:p w14:paraId="3FC3286D" w14:textId="77777777" w:rsidR="0097103C" w:rsidRDefault="0097103C" w:rsidP="00C61489">
      <w:pPr>
        <w:pStyle w:val="a3"/>
        <w:ind w:left="1080"/>
        <w:rPr>
          <w:rFonts w:cstheme="minorHAnsi"/>
          <w:color w:val="333333"/>
          <w:sz w:val="44"/>
          <w:szCs w:val="44"/>
          <w:shd w:val="clear" w:color="auto" w:fill="FFFFFF"/>
        </w:rPr>
      </w:pPr>
      <w:r>
        <w:rPr>
          <w:rFonts w:cstheme="minorHAnsi"/>
          <w:color w:val="333333"/>
          <w:sz w:val="44"/>
          <w:szCs w:val="44"/>
          <w:shd w:val="clear" w:color="auto" w:fill="FFFFFF"/>
        </w:rPr>
        <w:t>с даты признания прибора учёта утраченным;</w:t>
      </w:r>
    </w:p>
    <w:p w14:paraId="5107A00E" w14:textId="6B71AF4C" w:rsidR="0097103C" w:rsidRPr="00C61489" w:rsidRDefault="0097103C" w:rsidP="00C61489">
      <w:pPr>
        <w:pStyle w:val="a3"/>
        <w:ind w:left="1080"/>
        <w:rPr>
          <w:rFonts w:cstheme="minorHAnsi"/>
          <w:color w:val="333333"/>
          <w:sz w:val="44"/>
          <w:szCs w:val="44"/>
          <w:shd w:val="clear" w:color="auto" w:fill="FFFFFF"/>
        </w:rPr>
      </w:pPr>
      <w:r>
        <w:rPr>
          <w:rFonts w:cstheme="minorHAnsi"/>
          <w:color w:val="333333"/>
          <w:sz w:val="44"/>
          <w:szCs w:val="44"/>
          <w:shd w:val="clear" w:color="auto" w:fill="FFFFFF"/>
        </w:rPr>
        <w:t>с даты истечения интервала между поверками или срока эксплуатации прибора учёта, если соответствующая дата (</w:t>
      </w:r>
      <w:proofErr w:type="gramStart"/>
      <w:r>
        <w:rPr>
          <w:rFonts w:cstheme="minorHAnsi"/>
          <w:color w:val="333333"/>
          <w:sz w:val="44"/>
          <w:szCs w:val="44"/>
          <w:shd w:val="clear" w:color="auto" w:fill="FFFFFF"/>
        </w:rPr>
        <w:t>срок)  установлена</w:t>
      </w:r>
      <w:proofErr w:type="gramEnd"/>
      <w:r>
        <w:rPr>
          <w:rFonts w:cstheme="minorHAnsi"/>
          <w:color w:val="333333"/>
          <w:sz w:val="44"/>
          <w:szCs w:val="44"/>
          <w:shd w:val="clear" w:color="auto" w:fill="FFFFFF"/>
        </w:rPr>
        <w:t xml:space="preserve"> в договоре энергоснабжения (оказания услуг по передаче электрической энергии).</w:t>
      </w:r>
    </w:p>
    <w:p w14:paraId="4548AEA4" w14:textId="3433D412" w:rsidR="00665264" w:rsidRPr="008A52AD" w:rsidRDefault="0097103C" w:rsidP="00BD26D2">
      <w:pPr>
        <w:rPr>
          <w:rFonts w:cstheme="minorHAnsi"/>
          <w:b/>
          <w:sz w:val="44"/>
          <w:szCs w:val="44"/>
        </w:rPr>
      </w:pPr>
      <w:r w:rsidRPr="008A52AD">
        <w:rPr>
          <w:rFonts w:cstheme="minorHAnsi"/>
          <w:b/>
          <w:sz w:val="44"/>
          <w:szCs w:val="44"/>
        </w:rPr>
        <w:lastRenderedPageBreak/>
        <w:t>Нормативные документы</w:t>
      </w:r>
    </w:p>
    <w:p w14:paraId="435B7F25" w14:textId="18549FCE" w:rsidR="0097103C" w:rsidRDefault="0097103C" w:rsidP="0097103C">
      <w:pPr>
        <w:pStyle w:val="a3"/>
        <w:numPr>
          <w:ilvl w:val="0"/>
          <w:numId w:val="4"/>
        </w:numPr>
        <w:rPr>
          <w:rFonts w:cstheme="minorHAnsi"/>
          <w:sz w:val="44"/>
          <w:szCs w:val="44"/>
        </w:rPr>
      </w:pPr>
      <w:r>
        <w:rPr>
          <w:rFonts w:cstheme="minorHAnsi"/>
          <w:sz w:val="44"/>
          <w:szCs w:val="44"/>
        </w:rPr>
        <w:t>Федеральный закон от 26.03.2003 № 35-ФЗ «Об электроэнергетике»;</w:t>
      </w:r>
    </w:p>
    <w:p w14:paraId="79710EB1" w14:textId="72771881" w:rsidR="0097103C" w:rsidRDefault="0097103C" w:rsidP="0097103C">
      <w:pPr>
        <w:pStyle w:val="a3"/>
        <w:numPr>
          <w:ilvl w:val="0"/>
          <w:numId w:val="4"/>
        </w:numPr>
        <w:rPr>
          <w:rFonts w:cstheme="minorHAnsi"/>
          <w:sz w:val="44"/>
          <w:szCs w:val="44"/>
        </w:rPr>
      </w:pPr>
      <w:r>
        <w:rPr>
          <w:rFonts w:cstheme="minorHAnsi"/>
          <w:sz w:val="44"/>
          <w:szCs w:val="44"/>
        </w:rPr>
        <w:t xml:space="preserve">Федеральный закон от 23.11.2009 № 261-ФЗ «Об </w:t>
      </w:r>
      <w:proofErr w:type="gramStart"/>
      <w:r>
        <w:rPr>
          <w:rFonts w:cstheme="minorHAnsi"/>
          <w:sz w:val="44"/>
          <w:szCs w:val="44"/>
        </w:rPr>
        <w:t xml:space="preserve">электроснабжении  </w:t>
      </w:r>
      <w:r w:rsidR="00096373">
        <w:rPr>
          <w:rFonts w:cstheme="minorHAnsi"/>
          <w:sz w:val="44"/>
          <w:szCs w:val="44"/>
        </w:rPr>
        <w:t>и</w:t>
      </w:r>
      <w:proofErr w:type="gramEnd"/>
      <w:r w:rsidR="00096373">
        <w:rPr>
          <w:rFonts w:cstheme="minorHAnsi"/>
          <w:sz w:val="44"/>
          <w:szCs w:val="44"/>
        </w:rPr>
        <w:t xml:space="preserve"> о повышении энергетической эффективности и о внесении изменений в отдельные законодательные акты Российской Федерации»;</w:t>
      </w:r>
    </w:p>
    <w:p w14:paraId="5DF3F4A3" w14:textId="1A28FE0F" w:rsidR="00096373" w:rsidRDefault="00096373" w:rsidP="0097103C">
      <w:pPr>
        <w:pStyle w:val="a3"/>
        <w:numPr>
          <w:ilvl w:val="0"/>
          <w:numId w:val="4"/>
        </w:numPr>
        <w:rPr>
          <w:rFonts w:cstheme="minorHAnsi"/>
          <w:sz w:val="44"/>
          <w:szCs w:val="44"/>
        </w:rPr>
      </w:pPr>
      <w:r>
        <w:rPr>
          <w:rFonts w:cstheme="minorHAnsi"/>
          <w:sz w:val="44"/>
          <w:szCs w:val="44"/>
        </w:rPr>
        <w:t>Федеральный закон от 26.06.2008 № 102-ФЗ «Об обеспечении единства измерений»;</w:t>
      </w:r>
    </w:p>
    <w:p w14:paraId="31A739D3" w14:textId="377D13C4" w:rsidR="00096373" w:rsidRDefault="00096373" w:rsidP="0097103C">
      <w:pPr>
        <w:pStyle w:val="a3"/>
        <w:numPr>
          <w:ilvl w:val="0"/>
          <w:numId w:val="4"/>
        </w:numPr>
        <w:rPr>
          <w:rFonts w:cstheme="minorHAnsi"/>
          <w:sz w:val="44"/>
          <w:szCs w:val="44"/>
        </w:rPr>
      </w:pPr>
      <w:r>
        <w:rPr>
          <w:rFonts w:cstheme="minorHAnsi"/>
          <w:sz w:val="44"/>
          <w:szCs w:val="44"/>
        </w:rPr>
        <w:t>Постановление Правительства Российской Федерации от 04.05.2012 № 442 «О функционировании розничных рынков электрической энергии, полном и (или) частичном ограничении режима потребления электрической энергии»;</w:t>
      </w:r>
    </w:p>
    <w:p w14:paraId="546C078A" w14:textId="0CEBBE0F" w:rsidR="00096373" w:rsidRDefault="00096373" w:rsidP="0097103C">
      <w:pPr>
        <w:pStyle w:val="a3"/>
        <w:numPr>
          <w:ilvl w:val="0"/>
          <w:numId w:val="4"/>
        </w:numPr>
        <w:rPr>
          <w:rFonts w:cstheme="minorHAnsi"/>
          <w:sz w:val="44"/>
          <w:szCs w:val="44"/>
        </w:rPr>
      </w:pPr>
      <w:r>
        <w:rPr>
          <w:rFonts w:cstheme="minorHAnsi"/>
          <w:sz w:val="44"/>
          <w:szCs w:val="44"/>
        </w:rPr>
        <w:t xml:space="preserve">Постановление Правительства Российской Федерации от 27.12.2004 № 861 «Об утверждении правил недискриминационного доступа к услугам по передаче электрической энергии и оказании услуг, правил </w:t>
      </w:r>
      <w:r w:rsidRPr="00096373">
        <w:rPr>
          <w:rFonts w:cstheme="minorHAnsi"/>
          <w:sz w:val="44"/>
          <w:szCs w:val="44"/>
        </w:rPr>
        <w:t>недискриминационного доступа к услугам</w:t>
      </w:r>
      <w:r>
        <w:rPr>
          <w:rFonts w:cstheme="minorHAnsi"/>
          <w:sz w:val="44"/>
          <w:szCs w:val="44"/>
        </w:rPr>
        <w:t xml:space="preserve"> по оперативно-диспетчерскому управлению </w:t>
      </w:r>
      <w:r>
        <w:rPr>
          <w:rFonts w:cstheme="minorHAnsi"/>
          <w:sz w:val="44"/>
          <w:szCs w:val="44"/>
        </w:rPr>
        <w:lastRenderedPageBreak/>
        <w:t xml:space="preserve">в электроэнергетике и оказания этих услуг, правил </w:t>
      </w:r>
      <w:r w:rsidRPr="00096373">
        <w:rPr>
          <w:rFonts w:cstheme="minorHAnsi"/>
          <w:sz w:val="44"/>
          <w:szCs w:val="44"/>
        </w:rPr>
        <w:t>недискриминационного доступа</w:t>
      </w:r>
      <w:r>
        <w:rPr>
          <w:rFonts w:cstheme="minorHAnsi"/>
          <w:sz w:val="44"/>
          <w:szCs w:val="44"/>
        </w:rPr>
        <w:t xml:space="preserve">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энергии.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сетям»;</w:t>
      </w:r>
      <w:r w:rsidR="00E13894">
        <w:rPr>
          <w:rFonts w:cstheme="minorHAnsi"/>
          <w:sz w:val="44"/>
          <w:szCs w:val="44"/>
        </w:rPr>
        <w:t xml:space="preserve"> </w:t>
      </w:r>
    </w:p>
    <w:p w14:paraId="4AE6F148" w14:textId="0A9C24D0" w:rsidR="00E13894" w:rsidRDefault="00E13894" w:rsidP="0097103C">
      <w:pPr>
        <w:pStyle w:val="a3"/>
        <w:numPr>
          <w:ilvl w:val="0"/>
          <w:numId w:val="4"/>
        </w:numPr>
        <w:rPr>
          <w:rFonts w:cstheme="minorHAnsi"/>
          <w:sz w:val="44"/>
          <w:szCs w:val="44"/>
        </w:rPr>
      </w:pPr>
      <w:r w:rsidRPr="00E13894">
        <w:rPr>
          <w:rFonts w:cstheme="minorHAnsi"/>
          <w:sz w:val="44"/>
          <w:szCs w:val="44"/>
        </w:rPr>
        <w:t>Постановление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домов»;</w:t>
      </w:r>
    </w:p>
    <w:p w14:paraId="4CB68D23" w14:textId="4C936D63" w:rsidR="00E13894" w:rsidRDefault="00E13894" w:rsidP="0097103C">
      <w:pPr>
        <w:pStyle w:val="a3"/>
        <w:numPr>
          <w:ilvl w:val="0"/>
          <w:numId w:val="4"/>
        </w:numPr>
        <w:rPr>
          <w:rFonts w:cstheme="minorHAnsi"/>
          <w:sz w:val="44"/>
          <w:szCs w:val="44"/>
        </w:rPr>
      </w:pPr>
      <w:r>
        <w:rPr>
          <w:rFonts w:cstheme="minorHAnsi"/>
          <w:sz w:val="44"/>
          <w:szCs w:val="44"/>
        </w:rPr>
        <w:t xml:space="preserve">   П</w:t>
      </w:r>
      <w:r w:rsidRPr="00E13894">
        <w:rPr>
          <w:rFonts w:cstheme="minorHAnsi"/>
          <w:sz w:val="44"/>
          <w:szCs w:val="44"/>
        </w:rPr>
        <w:t>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71C2C514" w14:textId="77777777" w:rsidR="00E13894" w:rsidRPr="00E13894" w:rsidRDefault="00E13894" w:rsidP="00E13894">
      <w:pPr>
        <w:pStyle w:val="a3"/>
        <w:numPr>
          <w:ilvl w:val="0"/>
          <w:numId w:val="4"/>
        </w:numPr>
        <w:rPr>
          <w:rFonts w:cstheme="minorHAnsi"/>
          <w:sz w:val="44"/>
          <w:szCs w:val="44"/>
        </w:rPr>
      </w:pPr>
      <w:r w:rsidRPr="00E13894">
        <w:rPr>
          <w:rFonts w:cstheme="minorHAnsi"/>
          <w:sz w:val="44"/>
          <w:szCs w:val="44"/>
        </w:rPr>
        <w:t xml:space="preserve">Приказ Минэнерго России от 07.04.2010 № 149 «Об утверждении порядка заключения и существенных условий договора, </w:t>
      </w:r>
      <w:r w:rsidRPr="00E13894">
        <w:rPr>
          <w:rFonts w:cstheme="minorHAnsi"/>
          <w:sz w:val="44"/>
          <w:szCs w:val="44"/>
        </w:rPr>
        <w:lastRenderedPageBreak/>
        <w:t>регулирующего условия установки, замены и (или) эксплуатации приборов учета используемых энергетических ресурсов»;</w:t>
      </w:r>
    </w:p>
    <w:p w14:paraId="4ED84A01" w14:textId="6748C75F" w:rsidR="00E13894" w:rsidRDefault="00E13894" w:rsidP="00E13894">
      <w:pPr>
        <w:pStyle w:val="a3"/>
        <w:numPr>
          <w:ilvl w:val="0"/>
          <w:numId w:val="4"/>
        </w:numPr>
        <w:rPr>
          <w:rFonts w:cstheme="minorHAnsi"/>
          <w:sz w:val="44"/>
          <w:szCs w:val="44"/>
        </w:rPr>
      </w:pPr>
      <w:r w:rsidRPr="00E13894">
        <w:rPr>
          <w:rFonts w:cstheme="minorHAnsi"/>
          <w:sz w:val="44"/>
          <w:szCs w:val="44"/>
        </w:rPr>
        <w:t>Приказ Минэнерго России от 15.04.2014 № 186 «О Единых стандартах качества обслуживания сетевыми организациями потребителей услуг сетевых организаций».</w:t>
      </w:r>
    </w:p>
    <w:p w14:paraId="6E157940" w14:textId="6A977023" w:rsidR="00E13894" w:rsidRPr="008A52AD" w:rsidRDefault="00E13894" w:rsidP="00E13894">
      <w:pPr>
        <w:rPr>
          <w:rFonts w:cstheme="minorHAnsi"/>
          <w:b/>
          <w:sz w:val="44"/>
          <w:szCs w:val="44"/>
        </w:rPr>
      </w:pPr>
      <w:r w:rsidRPr="008A52AD">
        <w:rPr>
          <w:rFonts w:cstheme="minorHAnsi"/>
          <w:b/>
          <w:sz w:val="44"/>
          <w:szCs w:val="44"/>
        </w:rPr>
        <w:t>ЗАМЕНА ПРИБОРА УЧЕТА ЭЛЕКТРИЧЕСКОЙ ЭНЕРГИИ</w:t>
      </w:r>
    </w:p>
    <w:p w14:paraId="5E172309" w14:textId="3F86D975" w:rsidR="00E13894" w:rsidRPr="00E13894" w:rsidRDefault="00E13894" w:rsidP="00E13894">
      <w:pPr>
        <w:rPr>
          <w:rFonts w:cstheme="minorHAnsi"/>
          <w:sz w:val="44"/>
          <w:szCs w:val="44"/>
        </w:rPr>
      </w:pPr>
      <w:r w:rsidRPr="00E13894">
        <w:rPr>
          <w:rFonts w:cstheme="minorHAnsi"/>
          <w:sz w:val="44"/>
          <w:szCs w:val="44"/>
        </w:rPr>
        <w:t xml:space="preserve">В соответствии с требованиями Постановления Правительства РФ от 04.05.2012 № 442 «О функционировании розничных рынков электрической энергии, полном и (или) частичном ограничении режима потребления электрической энергии», Постановления Правительства РФ от 06.05.2011 № 354 «О предоставлении коммунальных услуг собственникам и пользователям помещений в многоквартирных домах и жилых домов» и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 </w:t>
      </w:r>
      <w:r w:rsidR="00016D05">
        <w:rPr>
          <w:rFonts w:cstheme="minorHAnsi"/>
          <w:sz w:val="44"/>
          <w:szCs w:val="44"/>
        </w:rPr>
        <w:t>ОО</w:t>
      </w:r>
      <w:r w:rsidRPr="00E13894">
        <w:rPr>
          <w:rFonts w:cstheme="minorHAnsi"/>
          <w:sz w:val="44"/>
          <w:szCs w:val="44"/>
        </w:rPr>
        <w:t>О «</w:t>
      </w:r>
      <w:r w:rsidR="00016D05">
        <w:rPr>
          <w:rFonts w:cstheme="minorHAnsi"/>
          <w:sz w:val="44"/>
          <w:szCs w:val="44"/>
        </w:rPr>
        <w:t>ПСК</w:t>
      </w:r>
      <w:r w:rsidRPr="00E13894">
        <w:rPr>
          <w:rFonts w:cstheme="minorHAnsi"/>
          <w:sz w:val="44"/>
          <w:szCs w:val="44"/>
        </w:rPr>
        <w:t xml:space="preserve">» проводит </w:t>
      </w:r>
      <w:r w:rsidRPr="00E13894">
        <w:rPr>
          <w:rFonts w:cstheme="minorHAnsi"/>
          <w:sz w:val="44"/>
          <w:szCs w:val="44"/>
        </w:rPr>
        <w:lastRenderedPageBreak/>
        <w:t>мероприятия по замене ранее установленных и (или) установке новых интеллектуальных приборов учета электрической энергии в случае выхода из строя, утраты, истечения срока эксплуатации или истечения интервала между поверками прибора учета электрической энергии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хозяйства, энергопринимающих устройств потребителей электрической энергии (кроме приборов учета, установленных в многоквартирных домах).</w:t>
      </w:r>
    </w:p>
    <w:p w14:paraId="38A7F50D" w14:textId="77777777" w:rsidR="00E13894" w:rsidRPr="00E13894" w:rsidRDefault="00E13894" w:rsidP="00E13894">
      <w:pPr>
        <w:rPr>
          <w:rFonts w:cstheme="minorHAnsi"/>
          <w:sz w:val="44"/>
          <w:szCs w:val="44"/>
        </w:rPr>
      </w:pPr>
    </w:p>
    <w:p w14:paraId="1E70B2F7" w14:textId="3337FBF4" w:rsidR="00E13894" w:rsidRPr="00E13894" w:rsidRDefault="00E13894" w:rsidP="00E13894">
      <w:pPr>
        <w:rPr>
          <w:rFonts w:cstheme="minorHAnsi"/>
          <w:sz w:val="44"/>
          <w:szCs w:val="44"/>
        </w:rPr>
      </w:pPr>
      <w:r w:rsidRPr="00E13894">
        <w:rPr>
          <w:rFonts w:cstheme="minorHAnsi"/>
          <w:sz w:val="44"/>
          <w:szCs w:val="44"/>
        </w:rPr>
        <w:t xml:space="preserve">Установка новых приборов учета электрической энергии и допуск их в эксплуатацию проводится </w:t>
      </w:r>
      <w:r w:rsidR="00016D05">
        <w:rPr>
          <w:rFonts w:cstheme="minorHAnsi"/>
          <w:sz w:val="44"/>
          <w:szCs w:val="44"/>
        </w:rPr>
        <w:t>ОО</w:t>
      </w:r>
      <w:r w:rsidRPr="00E13894">
        <w:rPr>
          <w:rFonts w:cstheme="minorHAnsi"/>
          <w:sz w:val="44"/>
          <w:szCs w:val="44"/>
        </w:rPr>
        <w:t>О «</w:t>
      </w:r>
      <w:r w:rsidR="00016D05">
        <w:rPr>
          <w:rFonts w:cstheme="minorHAnsi"/>
          <w:sz w:val="44"/>
          <w:szCs w:val="44"/>
        </w:rPr>
        <w:t>ПСК</w:t>
      </w:r>
      <w:r w:rsidRPr="00E13894">
        <w:rPr>
          <w:rFonts w:cstheme="minorHAnsi"/>
          <w:sz w:val="44"/>
          <w:szCs w:val="44"/>
        </w:rPr>
        <w:t>» на БЕЗВОЗМЕЗДНОЙ основе.</w:t>
      </w:r>
    </w:p>
    <w:p w14:paraId="648E6CE5" w14:textId="77777777" w:rsidR="00E13894" w:rsidRPr="00E13894" w:rsidRDefault="00E13894" w:rsidP="00E13894">
      <w:pPr>
        <w:rPr>
          <w:rFonts w:cstheme="minorHAnsi"/>
          <w:sz w:val="44"/>
          <w:szCs w:val="44"/>
        </w:rPr>
      </w:pPr>
    </w:p>
    <w:p w14:paraId="46F46BC0" w14:textId="77777777" w:rsidR="00E13894" w:rsidRPr="00E13894" w:rsidRDefault="00E13894" w:rsidP="00E13894">
      <w:pPr>
        <w:rPr>
          <w:rFonts w:cstheme="minorHAnsi"/>
          <w:sz w:val="44"/>
          <w:szCs w:val="44"/>
        </w:rPr>
      </w:pPr>
      <w:r w:rsidRPr="00E13894">
        <w:rPr>
          <w:rFonts w:cstheme="minorHAnsi"/>
          <w:sz w:val="44"/>
          <w:szCs w:val="44"/>
        </w:rPr>
        <w:t xml:space="preserve">Устанавливаемые интеллектуальные приборы учета электрической энергии самостоятельно транслируют данные о потреблении в режиме реального времени и избавляют потребителей </w:t>
      </w:r>
      <w:r w:rsidRPr="00E13894">
        <w:rPr>
          <w:rFonts w:cstheme="minorHAnsi"/>
          <w:sz w:val="44"/>
          <w:szCs w:val="44"/>
        </w:rPr>
        <w:lastRenderedPageBreak/>
        <w:t>от необходимости передавать показания счетчика «вручную».</w:t>
      </w:r>
    </w:p>
    <w:p w14:paraId="29D6876F" w14:textId="77777777" w:rsidR="00E13894" w:rsidRPr="00E13894" w:rsidRDefault="00E13894" w:rsidP="00E13894">
      <w:pPr>
        <w:rPr>
          <w:rFonts w:cstheme="minorHAnsi"/>
          <w:sz w:val="44"/>
          <w:szCs w:val="44"/>
        </w:rPr>
      </w:pPr>
    </w:p>
    <w:p w14:paraId="26166945" w14:textId="77777777" w:rsidR="00E13894" w:rsidRPr="00E13894" w:rsidRDefault="00E13894" w:rsidP="00E13894">
      <w:pPr>
        <w:rPr>
          <w:rFonts w:cstheme="minorHAnsi"/>
          <w:sz w:val="44"/>
          <w:szCs w:val="44"/>
        </w:rPr>
      </w:pPr>
      <w:r w:rsidRPr="00E13894">
        <w:rPr>
          <w:rFonts w:cstheme="minorHAnsi"/>
          <w:sz w:val="44"/>
          <w:szCs w:val="44"/>
        </w:rPr>
        <w:t>Ранее установленный прибор учета электрической энергии после установки нового не демонтируется, на свое усмотрение потребители могут использовать его в качестве контрольного или демонтировать его собственными силами.</w:t>
      </w:r>
    </w:p>
    <w:p w14:paraId="44D13B88" w14:textId="77777777" w:rsidR="00E13894" w:rsidRPr="00E13894" w:rsidRDefault="00E13894" w:rsidP="00E13894">
      <w:pPr>
        <w:rPr>
          <w:rFonts w:cstheme="minorHAnsi"/>
          <w:sz w:val="44"/>
          <w:szCs w:val="44"/>
        </w:rPr>
      </w:pPr>
    </w:p>
    <w:p w14:paraId="29E5A47A" w14:textId="29EE1B8B" w:rsidR="00E13894" w:rsidRPr="00446FB4" w:rsidRDefault="00E13894" w:rsidP="00E13894">
      <w:pPr>
        <w:rPr>
          <w:rFonts w:cstheme="minorHAnsi"/>
          <w:sz w:val="44"/>
          <w:szCs w:val="44"/>
        </w:rPr>
      </w:pPr>
      <w:bookmarkStart w:id="0" w:name="_GoBack"/>
      <w:bookmarkEnd w:id="0"/>
      <w:r w:rsidRPr="00446FB4">
        <w:rPr>
          <w:rFonts w:cstheme="minorHAnsi"/>
          <w:sz w:val="44"/>
          <w:szCs w:val="44"/>
        </w:rPr>
        <w:t xml:space="preserve">В случае выхода из строя, утраты, истечения срока эксплуатации или истечения интервала между поверками прибора учета электрической энергии потребитель вправе обратиться </w:t>
      </w:r>
      <w:proofErr w:type="gramStart"/>
      <w:r w:rsidRPr="00446FB4">
        <w:rPr>
          <w:rFonts w:cstheme="minorHAnsi"/>
          <w:sz w:val="44"/>
          <w:szCs w:val="44"/>
        </w:rPr>
        <w:t xml:space="preserve">в </w:t>
      </w:r>
      <w:r w:rsidR="00D723C6" w:rsidRPr="00446FB4">
        <w:rPr>
          <w:rFonts w:cstheme="minorHAnsi"/>
          <w:sz w:val="44"/>
          <w:szCs w:val="44"/>
        </w:rPr>
        <w:t xml:space="preserve"> ОО</w:t>
      </w:r>
      <w:r w:rsidRPr="00446FB4">
        <w:rPr>
          <w:rFonts w:cstheme="minorHAnsi"/>
          <w:sz w:val="44"/>
          <w:szCs w:val="44"/>
        </w:rPr>
        <w:t>О</w:t>
      </w:r>
      <w:proofErr w:type="gramEnd"/>
      <w:r w:rsidRPr="00446FB4">
        <w:rPr>
          <w:rFonts w:cstheme="minorHAnsi"/>
          <w:sz w:val="44"/>
          <w:szCs w:val="44"/>
        </w:rPr>
        <w:t xml:space="preserve"> «</w:t>
      </w:r>
      <w:r w:rsidR="00D723C6" w:rsidRPr="00446FB4">
        <w:rPr>
          <w:rFonts w:cstheme="minorHAnsi"/>
          <w:sz w:val="44"/>
          <w:szCs w:val="44"/>
        </w:rPr>
        <w:t>ПСК</w:t>
      </w:r>
      <w:r w:rsidRPr="00446FB4">
        <w:rPr>
          <w:rFonts w:cstheme="minorHAnsi"/>
          <w:sz w:val="44"/>
          <w:szCs w:val="44"/>
        </w:rPr>
        <w:t>», в зоне которого находится земельный участок, домовладение или иной объект, с заявлением о замене прибора учета электрической энергии.</w:t>
      </w:r>
    </w:p>
    <w:p w14:paraId="69E3AE84" w14:textId="77777777" w:rsidR="00E13894" w:rsidRPr="00446FB4" w:rsidRDefault="00E13894" w:rsidP="00E13894">
      <w:pPr>
        <w:rPr>
          <w:rFonts w:cstheme="minorHAnsi"/>
          <w:sz w:val="44"/>
          <w:szCs w:val="44"/>
        </w:rPr>
      </w:pPr>
    </w:p>
    <w:p w14:paraId="5EAAE1C2" w14:textId="35447A5D" w:rsidR="00E13894" w:rsidRPr="00446FB4" w:rsidRDefault="00E13894" w:rsidP="00E13894">
      <w:pPr>
        <w:rPr>
          <w:rFonts w:cstheme="minorHAnsi"/>
          <w:sz w:val="44"/>
          <w:szCs w:val="44"/>
        </w:rPr>
      </w:pPr>
      <w:r w:rsidRPr="00446FB4">
        <w:rPr>
          <w:rFonts w:cstheme="minorHAnsi"/>
          <w:sz w:val="44"/>
          <w:szCs w:val="44"/>
        </w:rPr>
        <w:t xml:space="preserve">Форма анкеты-заявки на замену прибора учёта размещена на официальном сайте </w:t>
      </w:r>
      <w:r w:rsidR="00016D05" w:rsidRPr="00446FB4">
        <w:rPr>
          <w:rFonts w:cstheme="minorHAnsi"/>
          <w:sz w:val="44"/>
          <w:szCs w:val="44"/>
        </w:rPr>
        <w:t xml:space="preserve">ООО </w:t>
      </w:r>
      <w:r w:rsidRPr="00446FB4">
        <w:rPr>
          <w:rFonts w:cstheme="minorHAnsi"/>
          <w:sz w:val="44"/>
          <w:szCs w:val="44"/>
        </w:rPr>
        <w:t>«</w:t>
      </w:r>
      <w:r w:rsidR="00016D05" w:rsidRPr="00446FB4">
        <w:rPr>
          <w:rFonts w:cstheme="minorHAnsi"/>
          <w:sz w:val="44"/>
          <w:szCs w:val="44"/>
        </w:rPr>
        <w:t>ПСК</w:t>
      </w:r>
      <w:r w:rsidRPr="00446FB4">
        <w:rPr>
          <w:rFonts w:cstheme="minorHAnsi"/>
          <w:sz w:val="44"/>
          <w:szCs w:val="44"/>
        </w:rPr>
        <w:t xml:space="preserve">» в разделе «Портал Потребителя» </w:t>
      </w:r>
      <w:proofErr w:type="spellStart"/>
      <w:proofErr w:type="gramStart"/>
      <w:r w:rsidR="00016D05" w:rsidRPr="00446FB4">
        <w:rPr>
          <w:rFonts w:cstheme="minorHAnsi"/>
          <w:sz w:val="44"/>
          <w:szCs w:val="44"/>
        </w:rPr>
        <w:t>psk.energy</w:t>
      </w:r>
      <w:proofErr w:type="spellEnd"/>
      <w:proofErr w:type="gramEnd"/>
      <w:r w:rsidRPr="00446FB4">
        <w:rPr>
          <w:rFonts w:cstheme="minorHAnsi"/>
          <w:sz w:val="44"/>
          <w:szCs w:val="44"/>
        </w:rPr>
        <w:t xml:space="preserve">). Во вкладке «Документы» необходимо выбрать </w:t>
      </w:r>
      <w:r w:rsidRPr="00446FB4">
        <w:rPr>
          <w:rFonts w:cstheme="minorHAnsi"/>
          <w:sz w:val="44"/>
          <w:szCs w:val="44"/>
        </w:rPr>
        <w:lastRenderedPageBreak/>
        <w:t>раздел «Типовые документы» и перейти к разделу «Приборы учета».</w:t>
      </w:r>
    </w:p>
    <w:p w14:paraId="5CA3A737" w14:textId="77777777" w:rsidR="00E13894" w:rsidRPr="00446FB4" w:rsidRDefault="00E13894" w:rsidP="00E13894">
      <w:pPr>
        <w:rPr>
          <w:rFonts w:cstheme="minorHAnsi"/>
          <w:sz w:val="44"/>
          <w:szCs w:val="44"/>
        </w:rPr>
      </w:pPr>
    </w:p>
    <w:p w14:paraId="0D52DDB9" w14:textId="2F5F00D1" w:rsidR="00E13894" w:rsidRPr="00446FB4" w:rsidRDefault="00E13894" w:rsidP="00E13894">
      <w:pPr>
        <w:rPr>
          <w:rFonts w:cstheme="minorHAnsi"/>
          <w:sz w:val="44"/>
          <w:szCs w:val="44"/>
        </w:rPr>
      </w:pPr>
      <w:r w:rsidRPr="00446FB4">
        <w:rPr>
          <w:rFonts w:cstheme="minorHAnsi"/>
          <w:sz w:val="44"/>
          <w:szCs w:val="44"/>
        </w:rPr>
        <w:t xml:space="preserve">Заявление о замене прибора учета электрической энергии можно подать любым удобным для потребителя способом: в электронном виде, направив по адресу </w:t>
      </w:r>
      <w:proofErr w:type="spellStart"/>
      <w:r w:rsidR="00324EAB" w:rsidRPr="00446FB4">
        <w:rPr>
          <w:rFonts w:cstheme="minorHAnsi"/>
          <w:sz w:val="44"/>
          <w:szCs w:val="44"/>
        </w:rPr>
        <w:t>info@psk.energy</w:t>
      </w:r>
      <w:proofErr w:type="spellEnd"/>
      <w:r w:rsidRPr="00446FB4">
        <w:rPr>
          <w:rFonts w:cstheme="minorHAnsi"/>
          <w:sz w:val="44"/>
          <w:szCs w:val="44"/>
        </w:rPr>
        <w:t xml:space="preserve">; в </w:t>
      </w:r>
      <w:proofErr w:type="gramStart"/>
      <w:r w:rsidR="00324EAB" w:rsidRPr="00446FB4">
        <w:rPr>
          <w:rFonts w:cstheme="minorHAnsi"/>
          <w:sz w:val="44"/>
          <w:szCs w:val="44"/>
        </w:rPr>
        <w:t>офисе</w:t>
      </w:r>
      <w:r w:rsidRPr="00446FB4">
        <w:rPr>
          <w:rFonts w:cstheme="minorHAnsi"/>
          <w:sz w:val="44"/>
          <w:szCs w:val="44"/>
        </w:rPr>
        <w:t xml:space="preserve"> </w:t>
      </w:r>
      <w:r w:rsidR="00324EAB" w:rsidRPr="00446FB4">
        <w:rPr>
          <w:rFonts w:cstheme="minorHAnsi"/>
          <w:sz w:val="44"/>
          <w:szCs w:val="44"/>
        </w:rPr>
        <w:t xml:space="preserve"> ОО</w:t>
      </w:r>
      <w:r w:rsidRPr="00446FB4">
        <w:rPr>
          <w:rFonts w:cstheme="minorHAnsi"/>
          <w:sz w:val="44"/>
          <w:szCs w:val="44"/>
        </w:rPr>
        <w:t>О</w:t>
      </w:r>
      <w:proofErr w:type="gramEnd"/>
      <w:r w:rsidRPr="00446FB4">
        <w:rPr>
          <w:rFonts w:cstheme="minorHAnsi"/>
          <w:sz w:val="44"/>
          <w:szCs w:val="44"/>
        </w:rPr>
        <w:t xml:space="preserve"> «</w:t>
      </w:r>
      <w:r w:rsidR="00324EAB" w:rsidRPr="00446FB4">
        <w:rPr>
          <w:rFonts w:cstheme="minorHAnsi"/>
          <w:sz w:val="44"/>
          <w:szCs w:val="44"/>
        </w:rPr>
        <w:t>ПСК</w:t>
      </w:r>
      <w:r w:rsidRPr="00446FB4">
        <w:rPr>
          <w:rFonts w:cstheme="minorHAnsi"/>
          <w:sz w:val="44"/>
          <w:szCs w:val="44"/>
        </w:rPr>
        <w:t>» (адрес</w:t>
      </w:r>
      <w:r w:rsidR="00324EAB" w:rsidRPr="00446FB4">
        <w:rPr>
          <w:rFonts w:cstheme="minorHAnsi"/>
          <w:sz w:val="44"/>
          <w:szCs w:val="44"/>
        </w:rPr>
        <w:t xml:space="preserve">  офиса </w:t>
      </w:r>
      <w:r w:rsidRPr="00446FB4">
        <w:rPr>
          <w:rFonts w:cstheme="minorHAnsi"/>
          <w:sz w:val="44"/>
          <w:szCs w:val="44"/>
        </w:rPr>
        <w:t xml:space="preserve">опубликован на сайте </w:t>
      </w:r>
      <w:r w:rsidR="00324EAB" w:rsidRPr="00446FB4">
        <w:rPr>
          <w:rFonts w:cstheme="minorHAnsi"/>
          <w:sz w:val="44"/>
          <w:szCs w:val="44"/>
        </w:rPr>
        <w:t>psk.energy</w:t>
      </w:r>
      <w:r w:rsidRPr="00446FB4">
        <w:rPr>
          <w:rFonts w:cstheme="minorHAnsi"/>
          <w:sz w:val="44"/>
          <w:szCs w:val="44"/>
        </w:rPr>
        <w:t>.ru/, вкладка «Потребителям» — раздел «</w:t>
      </w:r>
      <w:r w:rsidR="00324EAB" w:rsidRPr="00446FB4">
        <w:rPr>
          <w:rFonts w:cstheme="minorHAnsi"/>
          <w:sz w:val="44"/>
          <w:szCs w:val="44"/>
        </w:rPr>
        <w:t>контакты</w:t>
      </w:r>
      <w:r w:rsidRPr="00446FB4">
        <w:rPr>
          <w:rFonts w:cstheme="minorHAnsi"/>
          <w:sz w:val="44"/>
          <w:szCs w:val="44"/>
        </w:rPr>
        <w:t xml:space="preserve">»); </w:t>
      </w:r>
    </w:p>
    <w:p w14:paraId="4EB5E5A0" w14:textId="436D86F9" w:rsidR="00E13894" w:rsidRDefault="00E13894" w:rsidP="00E13894">
      <w:pPr>
        <w:rPr>
          <w:rFonts w:cstheme="minorHAnsi"/>
          <w:sz w:val="44"/>
          <w:szCs w:val="44"/>
        </w:rPr>
      </w:pPr>
      <w:r w:rsidRPr="00446FB4">
        <w:rPr>
          <w:rFonts w:cstheme="minorHAnsi"/>
          <w:sz w:val="44"/>
          <w:szCs w:val="44"/>
        </w:rPr>
        <w:t xml:space="preserve">Потребителям многоквартирных домов, подключённых к сетям </w:t>
      </w:r>
      <w:r w:rsidR="00324EAB" w:rsidRPr="00446FB4">
        <w:rPr>
          <w:rFonts w:cstheme="minorHAnsi"/>
          <w:sz w:val="44"/>
          <w:szCs w:val="44"/>
        </w:rPr>
        <w:t>ОО</w:t>
      </w:r>
      <w:r w:rsidRPr="00446FB4">
        <w:rPr>
          <w:rFonts w:cstheme="minorHAnsi"/>
          <w:sz w:val="44"/>
          <w:szCs w:val="44"/>
        </w:rPr>
        <w:t>О «</w:t>
      </w:r>
      <w:r w:rsidR="00324EAB" w:rsidRPr="00446FB4">
        <w:rPr>
          <w:rFonts w:cstheme="minorHAnsi"/>
          <w:sz w:val="44"/>
          <w:szCs w:val="44"/>
        </w:rPr>
        <w:t>ПСК</w:t>
      </w:r>
      <w:r w:rsidRPr="00446FB4">
        <w:rPr>
          <w:rFonts w:cstheme="minorHAnsi"/>
          <w:sz w:val="44"/>
          <w:szCs w:val="44"/>
        </w:rPr>
        <w:t>», для замены прибора учета электрической энергии необходимо обратиться к гарантирующему поставщику электроэнергии. Его контактная информация указывается на квитанциях оплаты электричества.</w:t>
      </w:r>
    </w:p>
    <w:p w14:paraId="624A57F1" w14:textId="77777777" w:rsidR="00E13894" w:rsidRDefault="00E13894" w:rsidP="00E13894">
      <w:pPr>
        <w:rPr>
          <w:rFonts w:cstheme="minorHAnsi"/>
          <w:sz w:val="44"/>
          <w:szCs w:val="44"/>
        </w:rPr>
      </w:pPr>
    </w:p>
    <w:p w14:paraId="62AAAD2A" w14:textId="77777777" w:rsidR="00E13894" w:rsidRPr="00E13894" w:rsidRDefault="00E13894" w:rsidP="00E13894">
      <w:pPr>
        <w:rPr>
          <w:rFonts w:cstheme="minorHAnsi"/>
          <w:sz w:val="44"/>
          <w:szCs w:val="44"/>
        </w:rPr>
      </w:pPr>
    </w:p>
    <w:sectPr w:rsidR="00E13894" w:rsidRPr="00E13894" w:rsidSect="00F25CC9"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355ED2"/>
    <w:multiLevelType w:val="hybridMultilevel"/>
    <w:tmpl w:val="9BFC7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C86B9D"/>
    <w:multiLevelType w:val="hybridMultilevel"/>
    <w:tmpl w:val="E5BE2C20"/>
    <w:lvl w:ilvl="0" w:tplc="B25292D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E2BE8"/>
    <w:multiLevelType w:val="hybridMultilevel"/>
    <w:tmpl w:val="ADA88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17748"/>
    <w:multiLevelType w:val="hybridMultilevel"/>
    <w:tmpl w:val="89E244DC"/>
    <w:lvl w:ilvl="0" w:tplc="136A2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A87"/>
    <w:rsid w:val="00016D05"/>
    <w:rsid w:val="00023795"/>
    <w:rsid w:val="00080CD7"/>
    <w:rsid w:val="00081009"/>
    <w:rsid w:val="00084375"/>
    <w:rsid w:val="00096373"/>
    <w:rsid w:val="0028369B"/>
    <w:rsid w:val="002B0834"/>
    <w:rsid w:val="002B7A9D"/>
    <w:rsid w:val="00324EAB"/>
    <w:rsid w:val="00373B59"/>
    <w:rsid w:val="00383FF4"/>
    <w:rsid w:val="003B423B"/>
    <w:rsid w:val="00425537"/>
    <w:rsid w:val="00446FB4"/>
    <w:rsid w:val="004B673E"/>
    <w:rsid w:val="00510165"/>
    <w:rsid w:val="00541FCD"/>
    <w:rsid w:val="005A4271"/>
    <w:rsid w:val="006122CD"/>
    <w:rsid w:val="00644E2E"/>
    <w:rsid w:val="00665264"/>
    <w:rsid w:val="00762B89"/>
    <w:rsid w:val="00852D50"/>
    <w:rsid w:val="008A52AD"/>
    <w:rsid w:val="008A5F63"/>
    <w:rsid w:val="008C2B44"/>
    <w:rsid w:val="008D52F4"/>
    <w:rsid w:val="008D5DAA"/>
    <w:rsid w:val="0097103C"/>
    <w:rsid w:val="009762DA"/>
    <w:rsid w:val="00980357"/>
    <w:rsid w:val="00AD36AF"/>
    <w:rsid w:val="00AF42F1"/>
    <w:rsid w:val="00B61C23"/>
    <w:rsid w:val="00B75B2E"/>
    <w:rsid w:val="00BC519D"/>
    <w:rsid w:val="00BD26D2"/>
    <w:rsid w:val="00C53EA6"/>
    <w:rsid w:val="00C61489"/>
    <w:rsid w:val="00CD486A"/>
    <w:rsid w:val="00CD5A40"/>
    <w:rsid w:val="00D43BF0"/>
    <w:rsid w:val="00D723C6"/>
    <w:rsid w:val="00DB4245"/>
    <w:rsid w:val="00E13894"/>
    <w:rsid w:val="00ED7A87"/>
    <w:rsid w:val="00EE0DDA"/>
    <w:rsid w:val="00F10AD8"/>
    <w:rsid w:val="00F2371B"/>
    <w:rsid w:val="00F25CC9"/>
    <w:rsid w:val="00FC0215"/>
    <w:rsid w:val="00FD7F58"/>
    <w:rsid w:val="00FF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CBD01"/>
  <w15:chartTrackingRefBased/>
  <w15:docId w15:val="{66C3AED9-8CD0-4461-AF47-5F060FFC6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B44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BD26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F6657-D82B-40D6-8F5C-266D20576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1394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Нефёдова</dc:creator>
  <cp:keywords/>
  <dc:description/>
  <cp:lastModifiedBy>Людмила Николаевна Королева</cp:lastModifiedBy>
  <cp:revision>11</cp:revision>
  <cp:lastPrinted>2024-10-29T07:42:00Z</cp:lastPrinted>
  <dcterms:created xsi:type="dcterms:W3CDTF">2024-10-29T07:43:00Z</dcterms:created>
  <dcterms:modified xsi:type="dcterms:W3CDTF">2024-10-30T07:23:00Z</dcterms:modified>
</cp:coreProperties>
</file>