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3A8" w:rsidRPr="004713A8" w:rsidRDefault="004713A8" w:rsidP="004713A8">
      <w:pPr>
        <w:spacing w:after="480" w:line="360" w:lineRule="atLeast"/>
        <w:rPr>
          <w:rFonts w:ascii="Arial" w:eastAsia="Times New Roman" w:hAnsi="Arial" w:cs="Arial"/>
          <w:b/>
          <w:sz w:val="24"/>
          <w:szCs w:val="24"/>
          <w:lang w:eastAsia="ru-RU"/>
        </w:rPr>
      </w:pPr>
      <w:r w:rsidRPr="004713A8">
        <w:rPr>
          <w:rFonts w:ascii="Arial" w:eastAsia="Times New Roman" w:hAnsi="Arial" w:cs="Arial"/>
          <w:b/>
          <w:sz w:val="24"/>
          <w:szCs w:val="24"/>
          <w:lang w:eastAsia="ru-RU"/>
        </w:rPr>
        <w:t>ОБЩАЯ ИНФОРМАЦИЯ О ТЕХНОЛОГИЧЕСКОМ ПРИСОЕДИНЕНИИ</w:t>
      </w:r>
    </w:p>
    <w:p w:rsidR="004713A8" w:rsidRPr="004713A8" w:rsidRDefault="004713A8" w:rsidP="004713A8">
      <w:pPr>
        <w:spacing w:after="480" w:line="360" w:lineRule="atLeast"/>
        <w:rPr>
          <w:rFonts w:ascii="Arial" w:eastAsia="Times New Roman" w:hAnsi="Arial" w:cs="Arial"/>
          <w:sz w:val="24"/>
          <w:szCs w:val="24"/>
          <w:lang w:eastAsia="ru-RU"/>
        </w:rPr>
      </w:pPr>
      <w:r w:rsidRPr="004713A8">
        <w:rPr>
          <w:rFonts w:ascii="Arial" w:eastAsia="Times New Roman" w:hAnsi="Arial" w:cs="Arial"/>
          <w:sz w:val="24"/>
          <w:szCs w:val="24"/>
          <w:lang w:eastAsia="ru-RU"/>
        </w:rPr>
        <w:t>Технологическое присоединение – это услуга, оказываемая сетевой организацией для подключения энергопринимающих устройств юридических, физических лиц и индивидуальных предпринимателей к электрическим сетям.</w:t>
      </w:r>
    </w:p>
    <w:p w:rsidR="004713A8" w:rsidRPr="004713A8" w:rsidRDefault="004713A8" w:rsidP="004713A8">
      <w:pPr>
        <w:spacing w:after="480" w:line="360" w:lineRule="atLeast"/>
        <w:rPr>
          <w:rFonts w:ascii="Arial" w:eastAsia="Times New Roman" w:hAnsi="Arial" w:cs="Arial"/>
          <w:sz w:val="24"/>
          <w:szCs w:val="24"/>
          <w:lang w:eastAsia="ru-RU"/>
        </w:rPr>
      </w:pPr>
      <w:r w:rsidRPr="004713A8">
        <w:rPr>
          <w:rFonts w:ascii="Arial" w:eastAsia="Times New Roman" w:hAnsi="Arial" w:cs="Arial"/>
          <w:sz w:val="24"/>
          <w:szCs w:val="24"/>
          <w:lang w:eastAsia="ru-RU"/>
        </w:rPr>
        <w:t>Порядок технологического присоединения энергопринимающих устройств определен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 г. № 861 (далее – Правила), а также Федеральным законом от 26.03.2003г. №35-ФЗ «Об электроэнергетике», и иными документами, размещенным в подразделе «Нормативные документы».</w:t>
      </w:r>
    </w:p>
    <w:p w:rsidR="004713A8" w:rsidRPr="004713A8" w:rsidRDefault="004713A8" w:rsidP="004713A8">
      <w:pPr>
        <w:spacing w:after="0" w:line="360" w:lineRule="atLeast"/>
        <w:rPr>
          <w:rFonts w:ascii="Arial" w:eastAsia="Times New Roman" w:hAnsi="Arial" w:cs="Arial"/>
          <w:sz w:val="24"/>
          <w:szCs w:val="24"/>
          <w:lang w:eastAsia="ru-RU"/>
        </w:rPr>
      </w:pPr>
      <w:r w:rsidRPr="004713A8">
        <w:rPr>
          <w:rFonts w:ascii="Arial" w:eastAsia="Times New Roman" w:hAnsi="Arial" w:cs="Arial"/>
          <w:b/>
          <w:bCs/>
          <w:sz w:val="24"/>
          <w:szCs w:val="24"/>
          <w:bdr w:val="none" w:sz="0" w:space="0" w:color="auto" w:frame="1"/>
          <w:lang w:eastAsia="ru-RU"/>
        </w:rPr>
        <w:t>Процедура технологического присоединения выполняется в случае:</w:t>
      </w:r>
    </w:p>
    <w:p w:rsidR="004713A8" w:rsidRPr="004713A8" w:rsidRDefault="004713A8" w:rsidP="004713A8">
      <w:pPr>
        <w:numPr>
          <w:ilvl w:val="0"/>
          <w:numId w:val="1"/>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присоединения впервые вводимых в эксплуатацию энергопринимающих устройств;</w:t>
      </w:r>
    </w:p>
    <w:p w:rsidR="004713A8" w:rsidRPr="004713A8" w:rsidRDefault="004713A8" w:rsidP="004713A8">
      <w:pPr>
        <w:numPr>
          <w:ilvl w:val="0"/>
          <w:numId w:val="1"/>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увеличения максимальной мощности ранее присоединенных реконструируемых энергопринимающих устройств;</w:t>
      </w:r>
    </w:p>
    <w:p w:rsidR="004713A8" w:rsidRPr="004713A8" w:rsidRDefault="004713A8" w:rsidP="004713A8">
      <w:pPr>
        <w:numPr>
          <w:ilvl w:val="0"/>
          <w:numId w:val="1"/>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изменения категории надежности электроснабжения энергопринимающих устройств;</w:t>
      </w:r>
    </w:p>
    <w:p w:rsidR="004713A8" w:rsidRPr="004713A8" w:rsidRDefault="004713A8" w:rsidP="004713A8">
      <w:pPr>
        <w:numPr>
          <w:ilvl w:val="0"/>
          <w:numId w:val="1"/>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изменения точек присоединения к сети;</w:t>
      </w:r>
    </w:p>
    <w:p w:rsidR="004713A8" w:rsidRPr="004713A8" w:rsidRDefault="004713A8" w:rsidP="004713A8">
      <w:pPr>
        <w:numPr>
          <w:ilvl w:val="0"/>
          <w:numId w:val="1"/>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изменения вида производственной деятельности, не влекущего пересмотр величины максимальной мощности, но изменяющего схему внешнего электроснабжения энергопринимающих устройств.</w:t>
      </w:r>
    </w:p>
    <w:p w:rsidR="004713A8" w:rsidRPr="004713A8" w:rsidRDefault="004713A8" w:rsidP="004713A8">
      <w:pPr>
        <w:spacing w:after="480" w:line="360" w:lineRule="atLeast"/>
        <w:rPr>
          <w:rFonts w:ascii="Arial" w:eastAsia="Times New Roman" w:hAnsi="Arial" w:cs="Arial"/>
          <w:sz w:val="24"/>
          <w:szCs w:val="24"/>
          <w:lang w:eastAsia="ru-RU"/>
        </w:rPr>
      </w:pPr>
      <w:r w:rsidRPr="004713A8">
        <w:rPr>
          <w:rFonts w:ascii="Arial" w:eastAsia="Times New Roman" w:hAnsi="Arial" w:cs="Arial"/>
          <w:sz w:val="24"/>
          <w:szCs w:val="24"/>
          <w:lang w:eastAsia="ru-RU"/>
        </w:rPr>
        <w:t>Технологическое присоединение осуществляется на возмездной основе, на основании договора, заключаемого между сетевой организацией и заявителем.</w:t>
      </w:r>
    </w:p>
    <w:p w:rsidR="004713A8" w:rsidRPr="004713A8" w:rsidRDefault="004713A8" w:rsidP="004713A8">
      <w:pPr>
        <w:spacing w:after="0" w:line="360" w:lineRule="atLeast"/>
        <w:rPr>
          <w:rFonts w:ascii="Arial" w:eastAsia="Times New Roman" w:hAnsi="Arial" w:cs="Arial"/>
          <w:sz w:val="24"/>
          <w:szCs w:val="24"/>
          <w:lang w:eastAsia="ru-RU"/>
        </w:rPr>
      </w:pPr>
      <w:r w:rsidRPr="004713A8">
        <w:rPr>
          <w:rFonts w:ascii="Arial" w:eastAsia="Times New Roman" w:hAnsi="Arial" w:cs="Arial"/>
          <w:b/>
          <w:bCs/>
          <w:sz w:val="24"/>
          <w:szCs w:val="24"/>
          <w:bdr w:val="none" w:sz="0" w:space="0" w:color="auto" w:frame="1"/>
          <w:lang w:eastAsia="ru-RU"/>
        </w:rPr>
        <w:t>Срок осуществления мероприятий по технологическому присоединению:</w:t>
      </w:r>
    </w:p>
    <w:p w:rsidR="004713A8" w:rsidRPr="004713A8" w:rsidRDefault="004713A8" w:rsidP="004713A8">
      <w:pPr>
        <w:spacing w:after="480" w:line="360" w:lineRule="atLeast"/>
        <w:rPr>
          <w:rFonts w:ascii="Arial" w:eastAsia="Times New Roman" w:hAnsi="Arial" w:cs="Arial"/>
          <w:sz w:val="24"/>
          <w:szCs w:val="24"/>
          <w:lang w:eastAsia="ru-RU"/>
        </w:rPr>
      </w:pPr>
      <w:r w:rsidRPr="004713A8">
        <w:rPr>
          <w:rFonts w:ascii="Arial" w:eastAsia="Times New Roman" w:hAnsi="Arial" w:cs="Arial"/>
          <w:sz w:val="24"/>
          <w:szCs w:val="24"/>
          <w:lang w:eastAsia="ru-RU"/>
        </w:rPr>
        <w:t xml:space="preserve">В случаях осуществления технологического присоединения к электрическим сетям классом напряжения до 20 </w:t>
      </w:r>
      <w:proofErr w:type="spellStart"/>
      <w:r w:rsidRPr="004713A8">
        <w:rPr>
          <w:rFonts w:ascii="Arial" w:eastAsia="Times New Roman" w:hAnsi="Arial" w:cs="Arial"/>
          <w:sz w:val="24"/>
          <w:szCs w:val="24"/>
          <w:lang w:eastAsia="ru-RU"/>
        </w:rPr>
        <w:t>кВ</w:t>
      </w:r>
      <w:proofErr w:type="spellEnd"/>
      <w:r w:rsidRPr="004713A8">
        <w:rPr>
          <w:rFonts w:ascii="Arial" w:eastAsia="Times New Roman" w:hAnsi="Arial" w:cs="Arial"/>
          <w:sz w:val="24"/>
          <w:szCs w:val="24"/>
          <w:lang w:eastAsia="ru-RU"/>
        </w:rPr>
        <w:t xml:space="preserve">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w:t>
      </w:r>
      <w:r w:rsidRPr="004713A8">
        <w:rPr>
          <w:rFonts w:ascii="Arial" w:eastAsia="Times New Roman" w:hAnsi="Arial" w:cs="Arial"/>
          <w:sz w:val="24"/>
          <w:szCs w:val="24"/>
          <w:lang w:eastAsia="ru-RU"/>
        </w:rPr>
        <w:lastRenderedPageBreak/>
        <w:t>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4713A8" w:rsidRPr="004713A8" w:rsidRDefault="004713A8" w:rsidP="004713A8">
      <w:pPr>
        <w:numPr>
          <w:ilvl w:val="0"/>
          <w:numId w:val="2"/>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4713A8" w:rsidRPr="004713A8" w:rsidRDefault="004713A8" w:rsidP="004713A8">
      <w:pPr>
        <w:numPr>
          <w:ilvl w:val="0"/>
          <w:numId w:val="2"/>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4 месяца - для заявителей, максимальная мощность энергопринимающих устройств которых составляет до 670 кВт включительно;</w:t>
      </w:r>
    </w:p>
    <w:p w:rsidR="004713A8" w:rsidRPr="004713A8" w:rsidRDefault="004713A8" w:rsidP="004713A8">
      <w:pPr>
        <w:numPr>
          <w:ilvl w:val="0"/>
          <w:numId w:val="2"/>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1 год - для заявителей, максимальная мощность энергопринимающих устройств которых составляет свыше 670 кВт.</w:t>
      </w:r>
    </w:p>
    <w:p w:rsidR="004713A8" w:rsidRPr="004713A8" w:rsidRDefault="004713A8" w:rsidP="004713A8">
      <w:pPr>
        <w:spacing w:after="0" w:line="360" w:lineRule="atLeast"/>
        <w:rPr>
          <w:rFonts w:ascii="Arial" w:eastAsia="Times New Roman" w:hAnsi="Arial" w:cs="Arial"/>
          <w:sz w:val="24"/>
          <w:szCs w:val="24"/>
          <w:lang w:eastAsia="ru-RU"/>
        </w:rPr>
      </w:pPr>
      <w:r w:rsidRPr="004713A8">
        <w:rPr>
          <w:rFonts w:ascii="Arial" w:eastAsia="Times New Roman" w:hAnsi="Arial" w:cs="Arial"/>
          <w:b/>
          <w:bCs/>
          <w:sz w:val="24"/>
          <w:szCs w:val="24"/>
          <w:bdr w:val="none" w:sz="0" w:space="0" w:color="auto" w:frame="1"/>
          <w:lang w:eastAsia="ru-RU"/>
        </w:rPr>
        <w:t>В иных случаях:</w:t>
      </w:r>
    </w:p>
    <w:p w:rsidR="004713A8" w:rsidRPr="004713A8" w:rsidRDefault="004713A8" w:rsidP="004713A8">
      <w:pPr>
        <w:numPr>
          <w:ilvl w:val="0"/>
          <w:numId w:val="3"/>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4713A8" w:rsidRPr="004713A8" w:rsidRDefault="004713A8" w:rsidP="004713A8">
      <w:pPr>
        <w:numPr>
          <w:ilvl w:val="0"/>
          <w:numId w:val="3"/>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30 рабочих дней - для заявителей, указанных в пунктах 12(1) и 14 Правил, при одновременном соблюдении следующих условий:</w:t>
      </w:r>
    </w:p>
    <w:p w:rsidR="004713A8" w:rsidRPr="004713A8" w:rsidRDefault="004713A8" w:rsidP="004713A8">
      <w:pPr>
        <w:numPr>
          <w:ilvl w:val="0"/>
          <w:numId w:val="4"/>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 xml:space="preserve">технологическое присоединение энергопринимающих устройств заявителя осуществляется к электрическим сетям классом напряжения 0,4 </w:t>
      </w:r>
      <w:proofErr w:type="spellStart"/>
      <w:r w:rsidRPr="004713A8">
        <w:rPr>
          <w:rFonts w:ascii="Arial" w:eastAsia="Times New Roman" w:hAnsi="Arial" w:cs="Arial"/>
          <w:color w:val="767D8B"/>
          <w:sz w:val="24"/>
          <w:szCs w:val="24"/>
          <w:lang w:eastAsia="ru-RU"/>
        </w:rPr>
        <w:t>кВ</w:t>
      </w:r>
      <w:proofErr w:type="spellEnd"/>
      <w:r w:rsidRPr="004713A8">
        <w:rPr>
          <w:rFonts w:ascii="Arial" w:eastAsia="Times New Roman" w:hAnsi="Arial" w:cs="Arial"/>
          <w:color w:val="767D8B"/>
          <w:sz w:val="24"/>
          <w:szCs w:val="24"/>
          <w:lang w:eastAsia="ru-RU"/>
        </w:rPr>
        <w:t xml:space="preserve"> и ниже;</w:t>
      </w:r>
    </w:p>
    <w:p w:rsidR="004713A8" w:rsidRPr="004713A8" w:rsidRDefault="004713A8" w:rsidP="004713A8">
      <w:pPr>
        <w:numPr>
          <w:ilvl w:val="0"/>
          <w:numId w:val="4"/>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15 метров;</w:t>
      </w:r>
    </w:p>
    <w:p w:rsidR="004713A8" w:rsidRPr="004713A8" w:rsidRDefault="004713A8" w:rsidP="004713A8">
      <w:pPr>
        <w:numPr>
          <w:ilvl w:val="0"/>
          <w:numId w:val="4"/>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сети, имеющим указанный в заявке класс напряжения и используемым сетевой организацией для осуществления технологического присоединения энергопринимающих устройств заявителя, и земельным участком заявителя;</w:t>
      </w:r>
    </w:p>
    <w:p w:rsidR="004713A8" w:rsidRPr="004713A8" w:rsidRDefault="004713A8" w:rsidP="004713A8">
      <w:pPr>
        <w:numPr>
          <w:ilvl w:val="0"/>
          <w:numId w:val="4"/>
        </w:numPr>
        <w:spacing w:after="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lastRenderedPageBreak/>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электрической энергии (мощности);</w:t>
      </w:r>
    </w:p>
    <w:p w:rsidR="004713A8" w:rsidRPr="004713A8" w:rsidRDefault="004713A8" w:rsidP="004713A8">
      <w:pPr>
        <w:numPr>
          <w:ilvl w:val="0"/>
          <w:numId w:val="5"/>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 xml:space="preserve">6 месяцев - для заявителей, указанных в пунктах 12(1), 14 и 34 Правил, если технологическое присоединение осуществляется к электрическим сетям, уровень напряжения которых составляет до 20 </w:t>
      </w:r>
      <w:proofErr w:type="spellStart"/>
      <w:r w:rsidRPr="004713A8">
        <w:rPr>
          <w:rFonts w:ascii="Arial" w:eastAsia="Times New Roman" w:hAnsi="Arial" w:cs="Arial"/>
          <w:color w:val="767D8B"/>
          <w:sz w:val="24"/>
          <w:szCs w:val="24"/>
          <w:lang w:eastAsia="ru-RU"/>
        </w:rPr>
        <w:t>кВ</w:t>
      </w:r>
      <w:proofErr w:type="spellEnd"/>
      <w:r w:rsidRPr="004713A8">
        <w:rPr>
          <w:rFonts w:ascii="Arial" w:eastAsia="Times New Roman" w:hAnsi="Arial" w:cs="Arial"/>
          <w:color w:val="767D8B"/>
          <w:sz w:val="24"/>
          <w:szCs w:val="24"/>
          <w:lang w:eastAsia="ru-RU"/>
        </w:rPr>
        <w:t xml:space="preserve">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4713A8" w:rsidRPr="004713A8" w:rsidRDefault="004713A8" w:rsidP="004713A8">
      <w:pPr>
        <w:numPr>
          <w:ilvl w:val="0"/>
          <w:numId w:val="5"/>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1 год - для заявителей, максимальная мощность энергопринимающих устройств которых составляет менее 670 кВт, а также для заявителей, максимальная мощность энергопринимающих устройств которых составляет не менее 670 кВт,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w:t>
      </w:r>
    </w:p>
    <w:p w:rsidR="004713A8" w:rsidRPr="004713A8" w:rsidRDefault="004713A8" w:rsidP="004713A8">
      <w:pPr>
        <w:numPr>
          <w:ilvl w:val="0"/>
          <w:numId w:val="5"/>
        </w:numPr>
        <w:spacing w:after="360" w:line="360" w:lineRule="atLeast"/>
        <w:ind w:left="0"/>
        <w:rPr>
          <w:rFonts w:ascii="Arial" w:eastAsia="Times New Roman" w:hAnsi="Arial" w:cs="Arial"/>
          <w:color w:val="767D8B"/>
          <w:sz w:val="24"/>
          <w:szCs w:val="24"/>
          <w:lang w:eastAsia="ru-RU"/>
        </w:rPr>
      </w:pPr>
      <w:r w:rsidRPr="004713A8">
        <w:rPr>
          <w:rFonts w:ascii="Arial" w:eastAsia="Times New Roman" w:hAnsi="Arial" w:cs="Arial"/>
          <w:color w:val="767D8B"/>
          <w:sz w:val="24"/>
          <w:szCs w:val="24"/>
          <w:lang w:eastAsia="ru-RU"/>
        </w:rPr>
        <w:t>2 года - для заявителей, максимальная мощность энергопринимающих устройств которых составляет не менее 670 кВт, в том числе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 если для осуществления технологического присоединения энергопринимающих устройств или объектов электроэнергетики заявителя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смежных сетевых организаций, и (или) объектов по производству электрической энергии;</w:t>
      </w:r>
    </w:p>
    <w:p w:rsidR="004713A8" w:rsidRPr="004713A8" w:rsidRDefault="004713A8" w:rsidP="004713A8">
      <w:pPr>
        <w:numPr>
          <w:ilvl w:val="0"/>
          <w:numId w:val="5"/>
        </w:numPr>
        <w:spacing w:after="0" w:line="360" w:lineRule="atLeast"/>
        <w:ind w:left="0"/>
        <w:rPr>
          <w:rFonts w:ascii="Arial" w:eastAsia="Times New Roman" w:hAnsi="Arial" w:cs="Arial"/>
          <w:color w:val="767D8B"/>
          <w:sz w:val="24"/>
          <w:szCs w:val="24"/>
          <w:lang w:eastAsia="ru-RU"/>
        </w:rPr>
      </w:pPr>
      <w:r>
        <w:rPr>
          <w:noProof/>
        </w:rPr>
        <mc:AlternateContent>
          <mc:Choice Requires="wps">
            <w:drawing>
              <wp:anchor distT="0" distB="0" distL="114300" distR="114300" simplePos="0" relativeHeight="251659264" behindDoc="0" locked="0" layoutInCell="1" allowOverlap="1">
                <wp:simplePos x="0" y="0"/>
                <wp:positionH relativeFrom="column">
                  <wp:posOffset>1765935</wp:posOffset>
                </wp:positionH>
                <wp:positionV relativeFrom="paragraph">
                  <wp:posOffset>1666930</wp:posOffset>
                </wp:positionV>
                <wp:extent cx="2170706" cy="683812"/>
                <wp:effectExtent l="0" t="0" r="20320" b="21590"/>
                <wp:wrapNone/>
                <wp:docPr id="1" name="Прямоугольник 1"/>
                <wp:cNvGraphicFramePr/>
                <a:graphic xmlns:a="http://schemas.openxmlformats.org/drawingml/2006/main">
                  <a:graphicData uri="http://schemas.microsoft.com/office/word/2010/wordprocessingShape">
                    <wps:wsp>
                      <wps:cNvSpPr/>
                      <wps:spPr>
                        <a:xfrm>
                          <a:off x="0" y="0"/>
                          <a:ext cx="2170706" cy="68381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13A8" w:rsidRDefault="004713A8" w:rsidP="004713A8">
                            <w:pPr>
                              <w:jc w:val="center"/>
                            </w:pPr>
                            <w:r>
                              <w:t>ПРЕДУСМОТРЕТЬ КНОПКУ</w:t>
                            </w:r>
                          </w:p>
                          <w:p w:rsidR="004713A8" w:rsidRDefault="004713A8" w:rsidP="004713A8">
                            <w:pPr>
                              <w:jc w:val="center"/>
                            </w:pPr>
                            <w:r>
                              <w:t>ПОДАТЬ ЗАЯВКУ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left:0;text-align:left;margin-left:139.05pt;margin-top:131.25pt;width:170.9pt;height:53.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DnQIAAFUFAAAOAAAAZHJzL2Uyb0RvYy54bWysVEtu2zAQ3RfoHQjuG0lufjUsB0aCFAWC&#10;JGhSZE1TZCSAv5K0JXdVoNsCPUIP0U3RT84g36hDSlaMJOiiqBbUkDPz5sM3nBw1UqAls67SKsfZ&#10;TooRU1QXlbrN8bvr0xeHGDlPVEGEVizHK+bw0fT5s0ltxmykSy0KZhGAKDeuTY5L7804SRwtmSRu&#10;RxumQMm1lcTD1t4mhSU1oEuRjNJ0P6m1LYzVlDkHpyedEk8jPueM+gvOHfNI5Bhy83G1cZ2HNZlO&#10;yPjWElNWtE+D/EMWklQKgg5QJ8QTtLDVIyhZUaud5n6HaplozivKYg1QTZY+qOaqJIbFWqA5zgxt&#10;cv8Plp4vLy2qCrg7jBSRcEXt1/XH9Zf2V3u3/tR+a+/an+vP7e/2e/sDZaFftXFjcLsyl7bfORBD&#10;8Q23MvyhLNTEHq+GHrPGIwqHo+wgPUj3MaKg2z98eZiNAmhy722s86+ZligIObZwh7G1ZHnmfGe6&#10;MQG/kE0XP0p+JVhIQai3jENdIWL0joxix8KiJQEuEEqZ8lmnKknBuuO9FL4+n8EjZhcBAzKvhBiw&#10;e4DA1sfYXa69fXBlkZCDc/q3xDrnwSNG1soPzrJS2j4FIKCqPnJnv2lS15rQJd/MGzAJ4lwXKyCA&#10;1d1kOENPK2j7GXH+klgYBRgaGG9/AQsXus6x7iWMSm0/PHUe7IGhoMWohtHKsXu/IJZhJN4o4O6r&#10;bHc3zGLc7O4djGBjtzXzbY1ayGMNNwb8hOyiGOy92IjcankDr8AsRAUVURRi55h6u9kc+27k4R2h&#10;bDaLZjB/hvgzdWVoAA8NDrS6bm6INT33PLD2XG/GkIwfULCzDZ5KzxZe8yry876vfethdiOH+ncm&#10;PA7b+2h1/xpO/wAAAP//AwBQSwMEFAAGAAgAAAAhAPsHOCbeAAAACwEAAA8AAABkcnMvZG93bnJl&#10;di54bWxMj8FOwzAMhu9IvENkJG4sbRHtVppOaBIXJA4bPEDWmqYscaomXdu3x5zgZsuf/v9ztV+c&#10;FVccQ+9JQbpJQCA1vu2pU/D58fqwBRGiplZbT6hgxQD7+vam0mXrZzri9RQ7wSEUSq3AxDiUUobG&#10;oNNh4wckvn350enI69jJdtQzhzsrsyTJpdM9cYPRAx4MNpfT5LhE43FNi/lweTfLW492/cZpVer+&#10;bnl5BhFxiX8w/OqzOtTsdPYTtUFYBVmxTRnlIc+eQDCRp7sdiLOCxyLJQNaV/P9D/QMAAP//AwBQ&#10;SwECLQAUAAYACAAAACEAtoM4kv4AAADhAQAAEwAAAAAAAAAAAAAAAAAAAAAAW0NvbnRlbnRfVHlw&#10;ZXNdLnhtbFBLAQItABQABgAIAAAAIQA4/SH/1gAAAJQBAAALAAAAAAAAAAAAAAAAAC8BAABfcmVs&#10;cy8ucmVsc1BLAQItABQABgAIAAAAIQB/aiYDnQIAAFUFAAAOAAAAAAAAAAAAAAAAAC4CAABkcnMv&#10;ZTJvRG9jLnhtbFBLAQItABQABgAIAAAAIQD7Bzgm3gAAAAsBAAAPAAAAAAAAAAAAAAAAAPcEAABk&#10;cnMvZG93bnJldi54bWxQSwUGAAAAAAQABADzAAAAAgYAAAAA&#10;" fillcolor="#4472c4 [3204]" strokecolor="#1f3763 [1604]" strokeweight="1pt">
                <v:textbox>
                  <w:txbxContent>
                    <w:p w:rsidR="004713A8" w:rsidRDefault="004713A8" w:rsidP="004713A8">
                      <w:pPr>
                        <w:jc w:val="center"/>
                      </w:pPr>
                      <w:r>
                        <w:t>ПРЕДУСМОТРЕТЬ КНОПКУ</w:t>
                      </w:r>
                    </w:p>
                    <w:p w:rsidR="004713A8" w:rsidRDefault="004713A8" w:rsidP="004713A8">
                      <w:pPr>
                        <w:jc w:val="center"/>
                      </w:pPr>
                      <w:r>
                        <w:t>ПОДАТЬ ЗАЯВКУ</w:t>
                      </w:r>
                    </w:p>
                  </w:txbxContent>
                </v:textbox>
              </v:rect>
            </w:pict>
          </mc:Fallback>
        </mc:AlternateContent>
      </w:r>
      <w:r w:rsidRPr="004713A8">
        <w:rPr>
          <w:rFonts w:ascii="Arial" w:eastAsia="Times New Roman" w:hAnsi="Arial" w:cs="Arial"/>
          <w:color w:val="767D8B"/>
          <w:sz w:val="24"/>
          <w:szCs w:val="24"/>
          <w:lang w:eastAsia="ru-RU"/>
        </w:rPr>
        <w:t>Для заявителей, максимальная мощность энергопринимающих устройств которых составляет не менее 670 кВт, по инициативе (обращению) заявителя договором могут быть установлены иные сроки (но не более 4 лет). В случае заключения сетевой организацией договора со смежной сетевой организацией в соответствии с требованиями пункта 41 Правил технологического присоединения срок осуществления мероприятий по технологическому присоединению определяется в порядке, установленном настоящими Правилами.</w:t>
      </w:r>
    </w:p>
    <w:p w:rsidR="009B4CAB" w:rsidRDefault="004713A8">
      <w:bookmarkStart w:id="0" w:name="_GoBack"/>
      <w:bookmarkEnd w:id="0"/>
    </w:p>
    <w:sectPr w:rsidR="009B4C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4AB9"/>
    <w:multiLevelType w:val="multilevel"/>
    <w:tmpl w:val="E3A48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336C97"/>
    <w:multiLevelType w:val="multilevel"/>
    <w:tmpl w:val="4BA0C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9617D5"/>
    <w:multiLevelType w:val="multilevel"/>
    <w:tmpl w:val="185C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377C17"/>
    <w:multiLevelType w:val="multilevel"/>
    <w:tmpl w:val="7E90D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531134"/>
    <w:multiLevelType w:val="multilevel"/>
    <w:tmpl w:val="4DB8F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3A8"/>
    <w:rsid w:val="004713A8"/>
    <w:rsid w:val="005E19E9"/>
    <w:rsid w:val="00716160"/>
    <w:rsid w:val="00E27C14"/>
    <w:rsid w:val="00EB725C"/>
    <w:rsid w:val="00F0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9201"/>
  <w15:chartTrackingRefBased/>
  <w15:docId w15:val="{088D4B74-13DF-4ABE-82B9-11DABE01B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13A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39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1017</Words>
  <Characters>5797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Николаевна Королева</dc:creator>
  <cp:keywords/>
  <dc:description/>
  <cp:lastModifiedBy>Людмила Николаевна Королева</cp:lastModifiedBy>
  <cp:revision>1</cp:revision>
  <dcterms:created xsi:type="dcterms:W3CDTF">2024-10-29T07:58:00Z</dcterms:created>
  <dcterms:modified xsi:type="dcterms:W3CDTF">2024-10-29T08:01:00Z</dcterms:modified>
</cp:coreProperties>
</file>